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EC" w:rsidRDefault="00760A8A" w:rsidP="008D0646">
      <w:pPr>
        <w:pStyle w:val="2"/>
        <w:ind w:firstLine="540"/>
      </w:pPr>
      <w:r>
        <w:t xml:space="preserve">       </w:t>
      </w:r>
    </w:p>
    <w:p w:rsidR="00BB19EC" w:rsidRDefault="002A0D18" w:rsidP="002A0D18">
      <w:pPr>
        <w:jc w:val="right"/>
        <w:rPr>
          <w:b/>
          <w:sz w:val="28"/>
          <w:szCs w:val="28"/>
        </w:rPr>
      </w:pPr>
      <w:r>
        <w:rPr>
          <w:sz w:val="20"/>
          <w:szCs w:val="20"/>
        </w:rPr>
        <w:t>Приложение</w:t>
      </w:r>
    </w:p>
    <w:p w:rsidR="00BB19EC" w:rsidRDefault="00BB19EC" w:rsidP="00BB19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Министерства культуры Республики Коми </w:t>
      </w:r>
    </w:p>
    <w:p w:rsidR="00BB19EC" w:rsidRDefault="00BB19EC" w:rsidP="00BB19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Указа Президента Российской Федерации от 7 мая 2012 года </w:t>
      </w:r>
    </w:p>
    <w:p w:rsidR="00BB19EC" w:rsidRPr="009F5F57" w:rsidRDefault="00BB19EC" w:rsidP="00BB19EC">
      <w:pPr>
        <w:jc w:val="center"/>
        <w:rPr>
          <w:b/>
          <w:sz w:val="28"/>
          <w:szCs w:val="28"/>
        </w:rPr>
      </w:pPr>
      <w:r w:rsidRPr="009F5F57">
        <w:rPr>
          <w:b/>
          <w:sz w:val="28"/>
          <w:szCs w:val="28"/>
        </w:rPr>
        <w:t>№ 597 «О мероприятиях по реализации государственной социальной политики»</w:t>
      </w:r>
    </w:p>
    <w:p w:rsidR="00BB19EC" w:rsidRPr="00E10138" w:rsidRDefault="00BB19EC" w:rsidP="00BB19EC">
      <w:pPr>
        <w:jc w:val="center"/>
        <w:rPr>
          <w:b/>
          <w:sz w:val="28"/>
          <w:szCs w:val="28"/>
        </w:rPr>
      </w:pPr>
      <w:r w:rsidRPr="00F37D9D">
        <w:rPr>
          <w:b/>
          <w:sz w:val="28"/>
          <w:szCs w:val="28"/>
        </w:rPr>
        <w:t xml:space="preserve">за </w:t>
      </w:r>
      <w:r w:rsidR="00F37D9D">
        <w:rPr>
          <w:b/>
          <w:sz w:val="28"/>
          <w:szCs w:val="28"/>
        </w:rPr>
        <w:t xml:space="preserve"> </w:t>
      </w:r>
      <w:r w:rsidR="00E10138">
        <w:rPr>
          <w:b/>
          <w:sz w:val="28"/>
          <w:szCs w:val="28"/>
          <w:lang w:val="en-US"/>
        </w:rPr>
        <w:t>I</w:t>
      </w:r>
      <w:r w:rsidR="00E10138">
        <w:rPr>
          <w:b/>
          <w:sz w:val="28"/>
          <w:szCs w:val="28"/>
        </w:rPr>
        <w:t xml:space="preserve"> полугодие</w:t>
      </w:r>
    </w:p>
    <w:p w:rsidR="00BB19EC" w:rsidRDefault="00BB19EC" w:rsidP="00BB19EC">
      <w:pPr>
        <w:jc w:val="center"/>
        <w:rPr>
          <w:b/>
          <w:sz w:val="28"/>
          <w:szCs w:val="28"/>
        </w:rPr>
      </w:pPr>
    </w:p>
    <w:p w:rsidR="00BB19EC" w:rsidRPr="00146BE7" w:rsidRDefault="00BB19EC" w:rsidP="00BB19E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Информация по исполнению пунктов Указа:</w:t>
      </w:r>
    </w:p>
    <w:tbl>
      <w:tblPr>
        <w:tblW w:w="160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885"/>
        <w:gridCol w:w="1242"/>
        <w:gridCol w:w="3685"/>
        <w:gridCol w:w="1985"/>
        <w:gridCol w:w="1877"/>
        <w:gridCol w:w="1666"/>
        <w:gridCol w:w="1594"/>
      </w:tblGrid>
      <w:tr w:rsidR="00BB19EC" w:rsidRPr="00186372" w:rsidTr="00B67878">
        <w:trPr>
          <w:tblHeader/>
        </w:trPr>
        <w:tc>
          <w:tcPr>
            <w:tcW w:w="1702" w:type="dxa"/>
          </w:tcPr>
          <w:p w:rsidR="00BB19EC" w:rsidRPr="00186372" w:rsidRDefault="00BB19EC" w:rsidP="00AC459B">
            <w:pPr>
              <w:tabs>
                <w:tab w:val="left" w:pos="38"/>
              </w:tabs>
              <w:ind w:right="34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Пункт (поручение, показатель) Указа Президента Российской Федерации</w:t>
            </w:r>
          </w:p>
          <w:p w:rsidR="00BB19EC" w:rsidRPr="00186372" w:rsidRDefault="00BB19EC" w:rsidP="00AC459B">
            <w:pPr>
              <w:tabs>
                <w:tab w:val="left" w:pos="38"/>
              </w:tabs>
              <w:ind w:right="34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от 7 мая 2012 года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A90CFE">
            <w:pPr>
              <w:ind w:left="-108" w:right="-73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Поручение Президента Российской Федерации</w:t>
            </w:r>
          </w:p>
          <w:p w:rsidR="00BB19EC" w:rsidRPr="00186372" w:rsidRDefault="00BB19EC" w:rsidP="00A90CFE">
            <w:pPr>
              <w:ind w:left="-108" w:right="-73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от 11 февраля 2013 года № Пр-240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A90CFE">
            <w:pPr>
              <w:ind w:left="-108" w:right="-73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Срок исполнения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A90CFE">
            <w:pPr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Статус</w:t>
            </w:r>
          </w:p>
          <w:p w:rsidR="00BB19EC" w:rsidRPr="00186372" w:rsidRDefault="00BB19EC" w:rsidP="00A90CF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proofErr w:type="gramStart"/>
            <w:r w:rsidRPr="00186372">
              <w:rPr>
                <w:b/>
                <w:sz w:val="18"/>
                <w:szCs w:val="18"/>
              </w:rPr>
              <w:t>исполнения поручения (выполнено/</w:t>
            </w:r>
            <w:proofErr w:type="gramEnd"/>
          </w:p>
          <w:p w:rsidR="00BB19EC" w:rsidRPr="00186372" w:rsidRDefault="00BB19EC" w:rsidP="00A90CF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не выполнено/в стадии выполнения)*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A90CFE">
            <w:pPr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Краткое описание хода исполнения поручения и перечень полученных результатов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A90CF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Проблемы, возникающие в ходе исполнения поручения Указа, Президента РФ</w:t>
            </w:r>
          </w:p>
        </w:tc>
        <w:tc>
          <w:tcPr>
            <w:tcW w:w="1877" w:type="dxa"/>
          </w:tcPr>
          <w:p w:rsidR="00BB19EC" w:rsidRPr="00186372" w:rsidRDefault="00BB19EC" w:rsidP="00A90CFE">
            <w:pPr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Предложения (законодательного и организационно-распорядительного характера),</w:t>
            </w:r>
          </w:p>
          <w:p w:rsidR="00BB19EC" w:rsidRPr="00186372" w:rsidRDefault="00BB19EC" w:rsidP="00A90CFE">
            <w:pPr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по исполнению поручения Указа, Президента РФ</w:t>
            </w:r>
          </w:p>
        </w:tc>
        <w:tc>
          <w:tcPr>
            <w:tcW w:w="1666" w:type="dxa"/>
          </w:tcPr>
          <w:p w:rsidR="00BB19EC" w:rsidRPr="00186372" w:rsidRDefault="00BB19EC" w:rsidP="00A90CFE">
            <w:pPr>
              <w:ind w:left="-107" w:right="-110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Результаты взаимодействия  с федеральными органами исполнительной власти</w:t>
            </w:r>
          </w:p>
        </w:tc>
        <w:tc>
          <w:tcPr>
            <w:tcW w:w="1594" w:type="dxa"/>
          </w:tcPr>
          <w:p w:rsidR="00BB19EC" w:rsidRPr="00186372" w:rsidRDefault="00BB19EC" w:rsidP="00A90CF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86372">
              <w:rPr>
                <w:b/>
                <w:sz w:val="18"/>
                <w:szCs w:val="18"/>
              </w:rPr>
              <w:t>Оценка  достижения (</w:t>
            </w:r>
            <w:proofErr w:type="spellStart"/>
            <w:r w:rsidRPr="00186372">
              <w:rPr>
                <w:b/>
                <w:sz w:val="18"/>
                <w:szCs w:val="18"/>
              </w:rPr>
              <w:t>недостижения</w:t>
            </w:r>
            <w:proofErr w:type="spellEnd"/>
            <w:r w:rsidRPr="00186372">
              <w:rPr>
                <w:b/>
                <w:sz w:val="18"/>
                <w:szCs w:val="18"/>
              </w:rPr>
              <w:t>) целей (поручений, показателей) Указа, Президента РФ</w:t>
            </w:r>
          </w:p>
        </w:tc>
      </w:tr>
      <w:tr w:rsidR="00BB19EC" w:rsidRPr="00186372" w:rsidTr="00B67878">
        <w:tc>
          <w:tcPr>
            <w:tcW w:w="1702" w:type="dxa"/>
            <w:vAlign w:val="center"/>
          </w:tcPr>
          <w:p w:rsidR="00BB19EC" w:rsidRPr="00186372" w:rsidRDefault="00BB19EC" w:rsidP="002C7C4F">
            <w:pPr>
              <w:tabs>
                <w:tab w:val="left" w:pos="38"/>
              </w:tabs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19EC" w:rsidRPr="00186372" w:rsidRDefault="00BB19EC" w:rsidP="002C7C4F">
            <w:pPr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B19EC" w:rsidRPr="00186372" w:rsidRDefault="00BB19EC" w:rsidP="002C7C4F">
            <w:pPr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BB19EC" w:rsidRPr="00186372" w:rsidRDefault="00BB19EC" w:rsidP="002C7C4F">
            <w:pPr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19EC" w:rsidRPr="00186372" w:rsidRDefault="00BB19EC" w:rsidP="002C7C4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19EC" w:rsidRPr="00186372" w:rsidRDefault="00BB19EC" w:rsidP="002C7C4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6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7</w:t>
            </w:r>
          </w:p>
        </w:tc>
        <w:tc>
          <w:tcPr>
            <w:tcW w:w="1666" w:type="dxa"/>
            <w:vAlign w:val="center"/>
          </w:tcPr>
          <w:p w:rsidR="00BB19EC" w:rsidRPr="00186372" w:rsidRDefault="00BB19EC" w:rsidP="002C7C4F">
            <w:pPr>
              <w:ind w:left="-107" w:right="-110"/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8</w:t>
            </w:r>
          </w:p>
        </w:tc>
        <w:tc>
          <w:tcPr>
            <w:tcW w:w="1594" w:type="dxa"/>
            <w:vAlign w:val="center"/>
          </w:tcPr>
          <w:p w:rsidR="00BB19EC" w:rsidRPr="00186372" w:rsidRDefault="00BB19EC" w:rsidP="002C7C4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9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025041">
            <w:pPr>
              <w:tabs>
                <w:tab w:val="left" w:pos="38"/>
              </w:tabs>
              <w:jc w:val="both"/>
              <w:rPr>
                <w:sz w:val="22"/>
                <w:szCs w:val="22"/>
              </w:rPr>
            </w:pPr>
            <w:proofErr w:type="gramStart"/>
            <w:r w:rsidRPr="00186372">
              <w:rPr>
                <w:sz w:val="22"/>
                <w:szCs w:val="22"/>
              </w:rPr>
              <w:t>1. а) доведение к 2018 году средней заработной платы работников учреждений культуры до средней заработной платы в соответствующем регионе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3 (а)</w:t>
            </w:r>
          </w:p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обеспечить проведение </w:t>
            </w:r>
            <w:proofErr w:type="gramStart"/>
            <w:r w:rsidRPr="00186372">
              <w:rPr>
                <w:sz w:val="22"/>
                <w:szCs w:val="22"/>
              </w:rPr>
              <w:t>мониторинга реализации  Программы поэтапного совершенствования системы оплаты труда</w:t>
            </w:r>
            <w:proofErr w:type="gramEnd"/>
            <w:r w:rsidRPr="00186372">
              <w:rPr>
                <w:sz w:val="22"/>
                <w:szCs w:val="22"/>
              </w:rPr>
              <w:t xml:space="preserve"> в государственных (муниципальных) учреждениях на 2012–2018 годы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2018г.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– 2018 г.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B67878">
            <w:pPr>
              <w:tabs>
                <w:tab w:val="left" w:pos="993"/>
              </w:tabs>
              <w:ind w:firstLine="317"/>
              <w:contextualSpacing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1. </w:t>
            </w:r>
            <w:proofErr w:type="gramStart"/>
            <w:r w:rsidRPr="00186372">
              <w:rPr>
                <w:sz w:val="22"/>
                <w:szCs w:val="22"/>
              </w:rPr>
              <w:t>Разработан План мероприятий («дорожная карта») «Изменения в отраслях социальной сферы, направленные на повышение эффективности сф</w:t>
            </w:r>
            <w:r w:rsidR="0093209F" w:rsidRPr="00186372">
              <w:rPr>
                <w:sz w:val="22"/>
                <w:szCs w:val="22"/>
              </w:rPr>
              <w:t>еры культуры в Республике Коми» (</w:t>
            </w:r>
            <w:r w:rsidRPr="00186372">
              <w:rPr>
                <w:sz w:val="22"/>
                <w:szCs w:val="22"/>
              </w:rPr>
              <w:t>утв</w:t>
            </w:r>
            <w:r w:rsidR="0093209F" w:rsidRPr="00186372">
              <w:rPr>
                <w:sz w:val="22"/>
                <w:szCs w:val="22"/>
              </w:rPr>
              <w:t>.</w:t>
            </w:r>
            <w:r w:rsidRPr="00186372">
              <w:rPr>
                <w:sz w:val="22"/>
                <w:szCs w:val="22"/>
              </w:rPr>
              <w:t xml:space="preserve"> распоряжением Правительства Республики Коми от 20 февраля 2013 г. № 43-р (далее – «дорожная карта»).</w:t>
            </w:r>
            <w:proofErr w:type="gramEnd"/>
          </w:p>
          <w:p w:rsidR="00BB19EC" w:rsidRPr="00186372" w:rsidRDefault="0093209F" w:rsidP="00B67878">
            <w:pPr>
              <w:ind w:firstLine="317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</w:t>
            </w:r>
            <w:r w:rsidR="00BB19EC" w:rsidRPr="00186372">
              <w:rPr>
                <w:sz w:val="22"/>
                <w:szCs w:val="22"/>
              </w:rPr>
              <w:t xml:space="preserve">.Разработаны и утверждены нормативными правовыми актами органов местного самоуправления 20 </w:t>
            </w:r>
            <w:r w:rsidR="00BB19EC" w:rsidRPr="00186372">
              <w:rPr>
                <w:rFonts w:eastAsia="Calibri"/>
                <w:sz w:val="22"/>
                <w:szCs w:val="22"/>
              </w:rPr>
              <w:t xml:space="preserve">муниципальных «дорожных карт» </w:t>
            </w:r>
          </w:p>
          <w:p w:rsidR="00BB19EC" w:rsidRPr="00186372" w:rsidRDefault="0093209F" w:rsidP="00B6787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3</w:t>
            </w:r>
            <w:r w:rsidR="00BB19EC" w:rsidRPr="00186372">
              <w:rPr>
                <w:sz w:val="22"/>
                <w:szCs w:val="22"/>
              </w:rPr>
              <w:t xml:space="preserve">. </w:t>
            </w:r>
            <w:r w:rsidR="00807215" w:rsidRPr="00186372">
              <w:rPr>
                <w:sz w:val="22"/>
                <w:szCs w:val="22"/>
              </w:rPr>
              <w:t>Р</w:t>
            </w:r>
            <w:r w:rsidR="00BB19EC" w:rsidRPr="00186372">
              <w:rPr>
                <w:sz w:val="22"/>
                <w:szCs w:val="22"/>
              </w:rPr>
              <w:t xml:space="preserve">азработаны и утверждены приказы государственных учреждений культуры и искусства Республики Коми об утверждении соответствующих планов </w:t>
            </w:r>
            <w:r w:rsidR="00BB19EC" w:rsidRPr="00186372">
              <w:rPr>
                <w:sz w:val="22"/>
                <w:szCs w:val="22"/>
              </w:rPr>
              <w:lastRenderedPageBreak/>
              <w:t xml:space="preserve">мероприятий </w:t>
            </w:r>
            <w:r w:rsidRPr="00186372">
              <w:rPr>
                <w:sz w:val="22"/>
                <w:szCs w:val="22"/>
              </w:rPr>
              <w:t>по реализации «Дорожной карты».</w:t>
            </w:r>
          </w:p>
          <w:p w:rsidR="00BB19EC" w:rsidRPr="00186372" w:rsidRDefault="0093209F" w:rsidP="00B6787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4</w:t>
            </w:r>
            <w:r w:rsidR="00BB19EC" w:rsidRPr="00186372">
              <w:rPr>
                <w:sz w:val="22"/>
                <w:szCs w:val="22"/>
              </w:rPr>
              <w:t>. В «дорожную карту» вн</w:t>
            </w:r>
            <w:r w:rsidR="00025041" w:rsidRPr="00186372">
              <w:rPr>
                <w:sz w:val="22"/>
                <w:szCs w:val="22"/>
              </w:rPr>
              <w:t>есены</w:t>
            </w:r>
            <w:r w:rsidR="00BB19EC" w:rsidRPr="00186372">
              <w:rPr>
                <w:sz w:val="22"/>
                <w:szCs w:val="22"/>
              </w:rPr>
              <w:t xml:space="preserve"> изменения </w:t>
            </w:r>
            <w:r w:rsidR="00BB19EC" w:rsidRPr="00186372">
              <w:rPr>
                <w:rFonts w:eastAsiaTheme="minorHAnsi"/>
                <w:sz w:val="22"/>
                <w:szCs w:val="22"/>
                <w:lang w:eastAsia="en-US"/>
              </w:rPr>
              <w:t xml:space="preserve">в части корректировки одного </w:t>
            </w:r>
            <w:r w:rsidR="00BB19EC" w:rsidRPr="00186372">
              <w:rPr>
                <w:rFonts w:eastAsia="Calibri"/>
                <w:sz w:val="22"/>
                <w:szCs w:val="22"/>
                <w:lang w:eastAsia="en-US"/>
              </w:rPr>
              <w:t>целевого показателя (индикатора) развития сферы культуры</w:t>
            </w:r>
            <w:r w:rsidR="00BB19EC" w:rsidRPr="00186372">
              <w:rPr>
                <w:sz w:val="22"/>
                <w:szCs w:val="22"/>
              </w:rPr>
              <w:t>. Проект распоряжения о внесении изменений направлен на согласование в Министерство культуры Российской Федерации.</w:t>
            </w:r>
          </w:p>
          <w:p w:rsidR="00186372" w:rsidRDefault="0093209F" w:rsidP="00B67878">
            <w:pPr>
              <w:ind w:firstLine="317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5. </w:t>
            </w:r>
            <w:r w:rsidR="00807215" w:rsidRPr="00186372">
              <w:rPr>
                <w:sz w:val="22"/>
                <w:szCs w:val="22"/>
              </w:rPr>
              <w:t xml:space="preserve">30 апреля 2013 г. завершены мероприятия по представлению руководителями </w:t>
            </w:r>
            <w:r w:rsidRPr="00186372">
              <w:rPr>
                <w:sz w:val="22"/>
                <w:szCs w:val="22"/>
              </w:rPr>
              <w:t>государственных учреждений культуры и искусства Республики Коми</w:t>
            </w:r>
            <w:r w:rsidR="00807215" w:rsidRPr="00186372">
              <w:rPr>
                <w:sz w:val="22"/>
                <w:szCs w:val="22"/>
              </w:rPr>
              <w:t xml:space="preserve"> справок о доходах, имуществе и обязательствах имущественного характера, проведен мониторинг представленных сведений, информация размещена на сайте министерства 14 мая 2013г.</w:t>
            </w:r>
            <w:r w:rsidRPr="00186372">
              <w:rPr>
                <w:sz w:val="22"/>
                <w:szCs w:val="22"/>
              </w:rPr>
              <w:t xml:space="preserve"> </w:t>
            </w:r>
          </w:p>
          <w:p w:rsidR="00807215" w:rsidRPr="00186372" w:rsidRDefault="0093209F" w:rsidP="00B67878">
            <w:pPr>
              <w:ind w:firstLine="317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6. </w:t>
            </w:r>
            <w:r w:rsidR="00807215" w:rsidRPr="00186372">
              <w:rPr>
                <w:sz w:val="22"/>
                <w:szCs w:val="22"/>
              </w:rPr>
              <w:t xml:space="preserve">До 1 мая 2013 г. заключены эффективные контракты с руководителями </w:t>
            </w:r>
            <w:r w:rsidRPr="00186372">
              <w:rPr>
                <w:sz w:val="22"/>
                <w:szCs w:val="22"/>
              </w:rPr>
              <w:t>государственных учреждений культуры и искусства Республики Коми</w:t>
            </w:r>
            <w:r w:rsidR="00807215" w:rsidRPr="00186372">
              <w:rPr>
                <w:sz w:val="22"/>
                <w:szCs w:val="22"/>
              </w:rPr>
              <w:t xml:space="preserve"> (внесены изменения в трудовые договора).</w:t>
            </w:r>
          </w:p>
          <w:p w:rsidR="00807215" w:rsidRPr="00186372" w:rsidRDefault="0093209F" w:rsidP="00B67878">
            <w:pPr>
              <w:ind w:firstLine="317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7. </w:t>
            </w:r>
            <w:proofErr w:type="gramStart"/>
            <w:r w:rsidR="00807215" w:rsidRPr="00186372">
              <w:rPr>
                <w:sz w:val="22"/>
                <w:szCs w:val="22"/>
              </w:rPr>
              <w:t xml:space="preserve">В целях  внедрения эффективных контрактов с работниками </w:t>
            </w:r>
            <w:r w:rsidRPr="00186372">
              <w:rPr>
                <w:sz w:val="22"/>
                <w:szCs w:val="22"/>
              </w:rPr>
              <w:t xml:space="preserve">государственных учреждений культуры и искусства </w:t>
            </w:r>
            <w:r w:rsidRPr="00186372">
              <w:rPr>
                <w:sz w:val="22"/>
                <w:szCs w:val="22"/>
              </w:rPr>
              <w:lastRenderedPageBreak/>
              <w:t>Республики Коми</w:t>
            </w:r>
            <w:r w:rsidR="00807215" w:rsidRPr="00186372">
              <w:rPr>
                <w:sz w:val="22"/>
                <w:szCs w:val="22"/>
              </w:rPr>
              <w:t xml:space="preserve"> проведено 2 семинара (15, 24 мая 2013 г.) для руководителей и заместителей руководителей и работников кадровых служб </w:t>
            </w:r>
            <w:r w:rsidRPr="00186372">
              <w:rPr>
                <w:sz w:val="22"/>
                <w:szCs w:val="22"/>
              </w:rPr>
              <w:t>государственных учреждений</w:t>
            </w:r>
            <w:r w:rsidR="00807215" w:rsidRPr="00186372">
              <w:rPr>
                <w:sz w:val="22"/>
                <w:szCs w:val="22"/>
              </w:rPr>
              <w:t>, в том числе с привлечением Управления государственной гражданской службы РК в части методических рекомендаций по разработке показателей эффективности и результативности деятельности работников.  </w:t>
            </w:r>
            <w:proofErr w:type="gramEnd"/>
          </w:p>
          <w:p w:rsidR="0072339B" w:rsidRPr="00186372" w:rsidRDefault="0093209F" w:rsidP="00B67878">
            <w:pPr>
              <w:ind w:firstLine="317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8</w:t>
            </w:r>
            <w:r w:rsidR="00025041" w:rsidRPr="00186372">
              <w:rPr>
                <w:sz w:val="22"/>
                <w:szCs w:val="22"/>
              </w:rPr>
              <w:t>.</w:t>
            </w:r>
            <w:r w:rsidR="0072339B" w:rsidRPr="00186372">
              <w:rPr>
                <w:sz w:val="22"/>
                <w:szCs w:val="22"/>
              </w:rPr>
              <w:t xml:space="preserve"> С</w:t>
            </w:r>
            <w:r w:rsidR="0072339B" w:rsidRPr="00186372">
              <w:rPr>
                <w:bCs/>
                <w:sz w:val="22"/>
                <w:szCs w:val="22"/>
              </w:rPr>
              <w:t xml:space="preserve"> 1 апреля 2013г. </w:t>
            </w:r>
            <w:r w:rsidR="0072339B" w:rsidRPr="00186372">
              <w:rPr>
                <w:sz w:val="22"/>
                <w:szCs w:val="22"/>
              </w:rPr>
              <w:t>предусмотрено:</w:t>
            </w:r>
          </w:p>
          <w:p w:rsidR="0072339B" w:rsidRPr="00186372" w:rsidRDefault="0072339B" w:rsidP="00B67878">
            <w:pPr>
              <w:ind w:firstLine="317"/>
              <w:jc w:val="both"/>
              <w:rPr>
                <w:b/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</w:t>
            </w:r>
            <w:proofErr w:type="gramStart"/>
            <w:r w:rsidRPr="00186372">
              <w:rPr>
                <w:sz w:val="22"/>
                <w:szCs w:val="22"/>
              </w:rPr>
              <w:t xml:space="preserve">-постановлением Правительства РК от  12 апреля 2013г. № 107 внесены изменения в постановление Правительства РК от 11 сентября 2008 г. № 242 «Об оплате труда работников государственных учреждений культуры и искусства Республики Коми» </w:t>
            </w:r>
            <w:r w:rsidR="00CD49CD" w:rsidRPr="00186372">
              <w:rPr>
                <w:sz w:val="22"/>
                <w:szCs w:val="22"/>
              </w:rPr>
              <w:t xml:space="preserve">в </w:t>
            </w:r>
            <w:r w:rsidRPr="00186372">
              <w:rPr>
                <w:sz w:val="22"/>
                <w:szCs w:val="22"/>
              </w:rPr>
              <w:t>части увеличения должностных окладов (ставок заработной платы) с 1 апреля 2013 года на 25% и увеличен плановый объем фонда надбавок за интенсивность и высокие результаты работы, качество выполняемых</w:t>
            </w:r>
            <w:proofErr w:type="gramEnd"/>
            <w:r w:rsidRPr="00186372">
              <w:rPr>
                <w:sz w:val="22"/>
                <w:szCs w:val="22"/>
              </w:rPr>
              <w:t xml:space="preserve"> работ.  С 1 апреля на повышение оплаты труда </w:t>
            </w:r>
            <w:r w:rsidRPr="00186372">
              <w:rPr>
                <w:sz w:val="22"/>
                <w:szCs w:val="22"/>
              </w:rPr>
              <w:lastRenderedPageBreak/>
              <w:t xml:space="preserve">работников культуры дополнительно выделено средств из республиканского бюджета Республики Коми с учетом страховых взносов </w:t>
            </w:r>
            <w:r w:rsidRPr="00186372">
              <w:rPr>
                <w:b/>
                <w:sz w:val="22"/>
                <w:szCs w:val="22"/>
              </w:rPr>
              <w:t>166,9 млн. руб</w:t>
            </w:r>
            <w:r w:rsidRPr="00186372">
              <w:rPr>
                <w:sz w:val="22"/>
                <w:szCs w:val="22"/>
              </w:rPr>
              <w:t xml:space="preserve">., в том числе </w:t>
            </w:r>
            <w:r w:rsidR="00CD49CD" w:rsidRPr="00186372">
              <w:rPr>
                <w:sz w:val="22"/>
                <w:szCs w:val="22"/>
              </w:rPr>
              <w:t xml:space="preserve">по </w:t>
            </w:r>
            <w:r w:rsidRPr="00186372">
              <w:rPr>
                <w:sz w:val="22"/>
                <w:szCs w:val="22"/>
              </w:rPr>
              <w:t xml:space="preserve">государственным учреждениям культуры и искусства </w:t>
            </w:r>
            <w:r w:rsidRPr="00186372">
              <w:rPr>
                <w:b/>
                <w:sz w:val="22"/>
                <w:szCs w:val="22"/>
              </w:rPr>
              <w:t>43,6 млн. руб</w:t>
            </w:r>
            <w:r w:rsidRPr="00186372">
              <w:rPr>
                <w:sz w:val="22"/>
                <w:szCs w:val="22"/>
              </w:rPr>
              <w:t xml:space="preserve">., муниципальным учреждениям культуры </w:t>
            </w:r>
            <w:r w:rsidR="00CD49CD" w:rsidRPr="00186372">
              <w:rPr>
                <w:sz w:val="22"/>
                <w:szCs w:val="22"/>
              </w:rPr>
              <w:t xml:space="preserve"> - </w:t>
            </w:r>
            <w:r w:rsidRPr="00186372">
              <w:rPr>
                <w:b/>
                <w:sz w:val="22"/>
                <w:szCs w:val="22"/>
              </w:rPr>
              <w:t>123,3 млн. руб.</w:t>
            </w:r>
            <w:r w:rsidR="00CD49CD" w:rsidRPr="00186372">
              <w:rPr>
                <w:b/>
                <w:sz w:val="22"/>
                <w:szCs w:val="22"/>
              </w:rPr>
              <w:t>;</w:t>
            </w:r>
          </w:p>
          <w:p w:rsidR="00B41DBC" w:rsidRPr="000A6633" w:rsidRDefault="008C7608" w:rsidP="00B41DBC">
            <w:pPr>
              <w:ind w:firstLine="3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41DBC" w:rsidRPr="008C7608">
              <w:rPr>
                <w:sz w:val="22"/>
                <w:szCs w:val="22"/>
              </w:rPr>
              <w:t xml:space="preserve">. </w:t>
            </w:r>
            <w:r w:rsidR="00B41DBC" w:rsidRPr="000A6633">
              <w:rPr>
                <w:sz w:val="22"/>
                <w:szCs w:val="22"/>
              </w:rPr>
              <w:t>С</w:t>
            </w:r>
            <w:r w:rsidR="00B41DBC" w:rsidRPr="000A6633">
              <w:rPr>
                <w:bCs/>
                <w:sz w:val="22"/>
                <w:szCs w:val="22"/>
              </w:rPr>
              <w:t xml:space="preserve"> 1 </w:t>
            </w:r>
            <w:r w:rsidRPr="000A6633">
              <w:rPr>
                <w:bCs/>
                <w:sz w:val="22"/>
                <w:szCs w:val="22"/>
              </w:rPr>
              <w:t>июля</w:t>
            </w:r>
            <w:r w:rsidR="00B41DBC" w:rsidRPr="000A6633">
              <w:rPr>
                <w:bCs/>
                <w:sz w:val="22"/>
                <w:szCs w:val="22"/>
              </w:rPr>
              <w:t xml:space="preserve"> 2013г. </w:t>
            </w:r>
            <w:r w:rsidR="00B41DBC" w:rsidRPr="000A6633">
              <w:rPr>
                <w:sz w:val="22"/>
                <w:szCs w:val="22"/>
              </w:rPr>
              <w:t>предусмотрено:</w:t>
            </w:r>
          </w:p>
          <w:p w:rsidR="00B41DBC" w:rsidRPr="000A6633" w:rsidRDefault="00B41DBC" w:rsidP="008C7608">
            <w:pPr>
              <w:ind w:firstLine="317"/>
              <w:jc w:val="both"/>
              <w:rPr>
                <w:sz w:val="22"/>
                <w:szCs w:val="22"/>
              </w:rPr>
            </w:pPr>
            <w:r w:rsidRPr="000A6633">
              <w:rPr>
                <w:sz w:val="22"/>
                <w:szCs w:val="22"/>
              </w:rPr>
              <w:t xml:space="preserve"> -постановлением Правительства РК от  </w:t>
            </w:r>
            <w:r w:rsidR="008C7608" w:rsidRPr="000A6633">
              <w:rPr>
                <w:sz w:val="22"/>
                <w:szCs w:val="22"/>
              </w:rPr>
              <w:t>28</w:t>
            </w:r>
            <w:r w:rsidRPr="000A6633">
              <w:rPr>
                <w:sz w:val="22"/>
                <w:szCs w:val="22"/>
              </w:rPr>
              <w:t xml:space="preserve"> </w:t>
            </w:r>
            <w:r w:rsidR="008C7608" w:rsidRPr="000A6633">
              <w:rPr>
                <w:sz w:val="22"/>
                <w:szCs w:val="22"/>
              </w:rPr>
              <w:t>июля</w:t>
            </w:r>
            <w:r w:rsidRPr="000A6633">
              <w:rPr>
                <w:sz w:val="22"/>
                <w:szCs w:val="22"/>
              </w:rPr>
              <w:t xml:space="preserve"> 2013г. № </w:t>
            </w:r>
            <w:r w:rsidR="008C7608" w:rsidRPr="000A6633">
              <w:rPr>
                <w:sz w:val="22"/>
                <w:szCs w:val="22"/>
              </w:rPr>
              <w:t>233</w:t>
            </w:r>
            <w:r w:rsidRPr="000A6633">
              <w:rPr>
                <w:sz w:val="22"/>
                <w:szCs w:val="22"/>
              </w:rPr>
              <w:t xml:space="preserve"> внесены изменения в постановление Правительства РК от 11 сентября 2008 г. № 242 «Об оплате труда работников государственных учреждений культуры и искусства Республики Коми» в части увеличения должностных окладов (ставок заработной платы) с 1 </w:t>
            </w:r>
            <w:r w:rsidR="008C7608" w:rsidRPr="000A6633">
              <w:rPr>
                <w:sz w:val="22"/>
                <w:szCs w:val="22"/>
              </w:rPr>
              <w:t>июля</w:t>
            </w:r>
            <w:r w:rsidRPr="000A6633">
              <w:rPr>
                <w:sz w:val="22"/>
                <w:szCs w:val="22"/>
              </w:rPr>
              <w:t xml:space="preserve"> 2013 года </w:t>
            </w:r>
            <w:r w:rsidR="008C7608" w:rsidRPr="000A6633">
              <w:rPr>
                <w:sz w:val="22"/>
                <w:szCs w:val="22"/>
              </w:rPr>
              <w:t xml:space="preserve">от 10 до </w:t>
            </w:r>
            <w:r w:rsidRPr="000A6633">
              <w:rPr>
                <w:sz w:val="22"/>
                <w:szCs w:val="22"/>
              </w:rPr>
              <w:t>25%</w:t>
            </w:r>
            <w:r w:rsidR="00291B5A" w:rsidRPr="000A6633">
              <w:rPr>
                <w:sz w:val="22"/>
                <w:szCs w:val="22"/>
              </w:rPr>
              <w:t>.</w:t>
            </w:r>
            <w:r w:rsidRPr="000A6633">
              <w:rPr>
                <w:sz w:val="22"/>
                <w:szCs w:val="22"/>
              </w:rPr>
              <w:t xml:space="preserve"> </w:t>
            </w:r>
          </w:p>
          <w:p w:rsidR="00B41DBC" w:rsidRPr="000A6633" w:rsidRDefault="008C7608" w:rsidP="00B41DBC">
            <w:pPr>
              <w:autoSpaceDE w:val="0"/>
              <w:autoSpaceDN w:val="0"/>
              <w:adjustRightInd w:val="0"/>
              <w:ind w:firstLine="317"/>
              <w:jc w:val="both"/>
              <w:rPr>
                <w:sz w:val="22"/>
                <w:szCs w:val="22"/>
              </w:rPr>
            </w:pPr>
            <w:r w:rsidRPr="000A6633">
              <w:rPr>
                <w:sz w:val="22"/>
                <w:szCs w:val="22"/>
              </w:rPr>
              <w:t>10</w:t>
            </w:r>
            <w:r w:rsidR="00B41DBC" w:rsidRPr="000A6633">
              <w:rPr>
                <w:sz w:val="22"/>
                <w:szCs w:val="22"/>
              </w:rPr>
              <w:t xml:space="preserve">.  </w:t>
            </w:r>
            <w:proofErr w:type="gramStart"/>
            <w:r w:rsidR="00B41DBC" w:rsidRPr="000A6633">
              <w:rPr>
                <w:rFonts w:eastAsia="Calibri"/>
                <w:sz w:val="22"/>
                <w:szCs w:val="22"/>
                <w:lang w:eastAsia="en-US"/>
              </w:rPr>
              <w:t xml:space="preserve">Проведен мониторинг достижения целевых показателей средней заработной платы работников государственных и муниципальных учреждений культуры, </w:t>
            </w:r>
            <w:r w:rsidR="00B41DBC" w:rsidRPr="000A6633">
              <w:rPr>
                <w:bCs/>
                <w:sz w:val="22"/>
                <w:szCs w:val="22"/>
              </w:rPr>
              <w:t xml:space="preserve">которые в соответствии </w:t>
            </w:r>
            <w:r w:rsidR="00B41DBC" w:rsidRPr="000A6633">
              <w:rPr>
                <w:sz w:val="22"/>
                <w:szCs w:val="22"/>
              </w:rPr>
              <w:t xml:space="preserve">с классификацией по видам экономической деятельности </w:t>
            </w:r>
            <w:r w:rsidR="00B41DBC" w:rsidRPr="000A6633">
              <w:rPr>
                <w:sz w:val="22"/>
                <w:szCs w:val="22"/>
              </w:rPr>
              <w:lastRenderedPageBreak/>
              <w:t xml:space="preserve">представляют отчетность по формам ЗП, предусмотренным приказом Росстата от 30.10.2012 г. № 574. </w:t>
            </w:r>
            <w:proofErr w:type="gramEnd"/>
          </w:p>
          <w:p w:rsidR="008C7608" w:rsidRPr="000A6633" w:rsidRDefault="008C7608" w:rsidP="008C7608">
            <w:pPr>
              <w:ind w:firstLine="175"/>
              <w:jc w:val="both"/>
              <w:rPr>
                <w:rFonts w:eastAsiaTheme="majorEastAsia"/>
                <w:sz w:val="22"/>
                <w:szCs w:val="22"/>
              </w:rPr>
            </w:pPr>
            <w:r w:rsidRPr="000A6633">
              <w:rPr>
                <w:rFonts w:eastAsiaTheme="majorEastAsia"/>
                <w:sz w:val="22"/>
                <w:szCs w:val="22"/>
              </w:rPr>
              <w:t>11. За январь-май 2013 года среднемесячный доход на одного работника учреждений культуры на основании статистической отчетности по форме № П-4 «Сведения о численности и заработной плате работников» составил 15 976 руб., что на 20,5% больше уровня среднемесячного дохода на одного работника в 2012 году.</w:t>
            </w:r>
          </w:p>
          <w:p w:rsidR="00B41DBC" w:rsidRPr="000A6633" w:rsidRDefault="008C7608" w:rsidP="008C7608">
            <w:pPr>
              <w:ind w:firstLine="567"/>
              <w:jc w:val="both"/>
              <w:rPr>
                <w:rFonts w:eastAsiaTheme="majorEastAsia"/>
                <w:sz w:val="22"/>
                <w:szCs w:val="22"/>
              </w:rPr>
            </w:pPr>
            <w:proofErr w:type="gramStart"/>
            <w:r w:rsidRPr="000A6633">
              <w:rPr>
                <w:rFonts w:eastAsiaTheme="majorEastAsia"/>
                <w:sz w:val="22"/>
                <w:szCs w:val="22"/>
              </w:rPr>
              <w:t>Динамика примерных (индикативных) значений соотношения средней заработной платы работников учреждений культуры и искусства Республики Коми достигнута в размере 44,3 процентов (план на 2013 год - 56,1 процент) от уровня средней заработной платы в Республике Коми (средняя заработная плата в Республике Коми за I полугодие 2013 года по данным Министерства экономического развития Республики Коми составила 36 060 руб.).</w:t>
            </w:r>
            <w:proofErr w:type="gramEnd"/>
          </w:p>
          <w:p w:rsidR="00BB19EC" w:rsidRPr="00186372" w:rsidRDefault="001F0CEA" w:rsidP="0088523B">
            <w:pPr>
              <w:autoSpaceDE w:val="0"/>
              <w:autoSpaceDN w:val="0"/>
              <w:adjustRightInd w:val="0"/>
              <w:ind w:firstLine="317"/>
              <w:jc w:val="both"/>
              <w:rPr>
                <w:sz w:val="22"/>
                <w:szCs w:val="22"/>
              </w:rPr>
            </w:pPr>
            <w:r w:rsidRPr="000A663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C7608" w:rsidRPr="000A6633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1541EF" w:rsidRPr="000A6633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8C7608" w:rsidRPr="000A6633">
              <w:rPr>
                <w:rFonts w:eastAsia="Calibri"/>
                <w:sz w:val="22"/>
                <w:szCs w:val="22"/>
                <w:lang w:eastAsia="en-US"/>
              </w:rPr>
              <w:t>Промежуточный о</w:t>
            </w:r>
            <w:r w:rsidR="001541EF" w:rsidRPr="000A6633">
              <w:rPr>
                <w:rFonts w:eastAsia="Calibri"/>
                <w:sz w:val="22"/>
                <w:szCs w:val="22"/>
                <w:lang w:eastAsia="en-US"/>
              </w:rPr>
              <w:t>тчет по реализации «дорожной карты»</w:t>
            </w:r>
            <w:r w:rsidR="001541EF" w:rsidRPr="000A6633">
              <w:rPr>
                <w:sz w:val="22"/>
                <w:szCs w:val="22"/>
              </w:rPr>
              <w:t xml:space="preserve"> за </w:t>
            </w:r>
            <w:r w:rsidR="001541EF" w:rsidRPr="000A6633">
              <w:rPr>
                <w:sz w:val="22"/>
                <w:szCs w:val="22"/>
                <w:lang w:val="en-US"/>
              </w:rPr>
              <w:t>I</w:t>
            </w:r>
            <w:r w:rsidR="008C7608" w:rsidRPr="000A6633">
              <w:rPr>
                <w:sz w:val="22"/>
                <w:szCs w:val="22"/>
              </w:rPr>
              <w:t xml:space="preserve"> </w:t>
            </w:r>
            <w:r w:rsidR="008C7608" w:rsidRPr="000A6633">
              <w:rPr>
                <w:sz w:val="22"/>
                <w:szCs w:val="22"/>
              </w:rPr>
              <w:lastRenderedPageBreak/>
              <w:t>квартал 2013 года</w:t>
            </w:r>
            <w:r w:rsidR="001541EF" w:rsidRPr="000A6633">
              <w:rPr>
                <w:sz w:val="22"/>
                <w:szCs w:val="22"/>
              </w:rPr>
              <w:t xml:space="preserve"> направлен</w:t>
            </w:r>
            <w:r w:rsidR="001541EF" w:rsidRPr="000A6633">
              <w:rPr>
                <w:bCs/>
                <w:sz w:val="22"/>
                <w:szCs w:val="22"/>
              </w:rPr>
              <w:t xml:space="preserve"> в </w:t>
            </w:r>
            <w:r w:rsidR="001541EF" w:rsidRPr="000A6633">
              <w:rPr>
                <w:sz w:val="22"/>
                <w:szCs w:val="22"/>
              </w:rPr>
              <w:t xml:space="preserve">Министерство </w:t>
            </w:r>
            <w:r w:rsidR="008C7608" w:rsidRPr="000A6633">
              <w:rPr>
                <w:sz w:val="22"/>
                <w:szCs w:val="22"/>
              </w:rPr>
              <w:t>финансов</w:t>
            </w:r>
            <w:r w:rsidR="001541EF" w:rsidRPr="000A6633">
              <w:rPr>
                <w:sz w:val="22"/>
                <w:szCs w:val="22"/>
              </w:rPr>
              <w:t xml:space="preserve"> Российской Федерации письмом от </w:t>
            </w:r>
            <w:r w:rsidR="0088523B" w:rsidRPr="000A6633">
              <w:rPr>
                <w:sz w:val="22"/>
                <w:szCs w:val="22"/>
              </w:rPr>
              <w:t>02.07.2013 г. №  03-14</w:t>
            </w:r>
            <w:r w:rsidR="001541EF" w:rsidRPr="000A6633">
              <w:rPr>
                <w:sz w:val="22"/>
                <w:szCs w:val="22"/>
              </w:rPr>
              <w:t>-</w:t>
            </w:r>
            <w:r w:rsidR="0088523B" w:rsidRPr="000A6633">
              <w:rPr>
                <w:sz w:val="22"/>
                <w:szCs w:val="22"/>
              </w:rPr>
              <w:t>1325/Т</w:t>
            </w:r>
            <w:r w:rsidR="001541EF" w:rsidRPr="000A6633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B67878">
            <w:pPr>
              <w:tabs>
                <w:tab w:val="left" w:pos="993"/>
              </w:tabs>
              <w:ind w:firstLine="317"/>
              <w:contextualSpacing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 xml:space="preserve">1. В настоящее время вопросы оплаты труда в отрасли в части отнесения должностей служащих и профессий рабочий к той или иной категории работников, кроме нормативно-правовых актов республики, регулируются 4 нормативно-правовыми актами РФ (Приказ </w:t>
            </w:r>
            <w:proofErr w:type="spellStart"/>
            <w:r w:rsidRPr="00186372">
              <w:rPr>
                <w:sz w:val="22"/>
                <w:szCs w:val="22"/>
              </w:rPr>
              <w:t>Минздравсоцразвития</w:t>
            </w:r>
            <w:proofErr w:type="spellEnd"/>
            <w:r w:rsidRPr="00186372">
              <w:rPr>
                <w:sz w:val="22"/>
                <w:szCs w:val="22"/>
              </w:rPr>
              <w:t xml:space="preserve"> РФ от 30 </w:t>
            </w:r>
            <w:r w:rsidRPr="00186372">
              <w:rPr>
                <w:sz w:val="22"/>
                <w:szCs w:val="22"/>
              </w:rPr>
              <w:lastRenderedPageBreak/>
              <w:t xml:space="preserve">марта 2011 года № 251н, утверждающий Единый квалификационный справочник должностей; </w:t>
            </w:r>
            <w:proofErr w:type="gramStart"/>
            <w:r w:rsidRPr="00186372">
              <w:rPr>
                <w:sz w:val="22"/>
                <w:szCs w:val="22"/>
              </w:rPr>
              <w:t xml:space="preserve">Постановление Госстандарта РФ от 26 декабря 1994 года № 367, утверждающее Общероссийский классификатор профессий рабочих, должностей служащих и тарифных разрядов; Постановление Минтруда РФ от 21 августа 1998 года № 37, утверждающее Квалификационный справочник должностей </w:t>
            </w:r>
            <w:r w:rsidR="000464EE">
              <w:rPr>
                <w:sz w:val="22"/>
                <w:szCs w:val="22"/>
              </w:rPr>
              <w:t xml:space="preserve"> </w:t>
            </w:r>
            <w:r w:rsidRPr="00186372">
              <w:rPr>
                <w:sz w:val="22"/>
                <w:szCs w:val="22"/>
              </w:rPr>
              <w:t xml:space="preserve">руководителей, специалистов и других служащих </w:t>
            </w:r>
            <w:r w:rsidRPr="00186372">
              <w:rPr>
                <w:sz w:val="22"/>
                <w:szCs w:val="22"/>
              </w:rPr>
              <w:lastRenderedPageBreak/>
              <w:t>и Единый тарифно-квалификационный справочник работ и профессий рабочих»).</w:t>
            </w:r>
            <w:proofErr w:type="gramEnd"/>
            <w:r w:rsidRPr="00186372">
              <w:rPr>
                <w:sz w:val="22"/>
                <w:szCs w:val="22"/>
              </w:rPr>
              <w:t xml:space="preserve"> В вышеуказанных нормативных документах, кроме ЕТКС, отнесение должностей служащих к той или иной категории работников различно. В рамках решения данного вопроса направлен запрос в Министерство культуры РФ.</w:t>
            </w:r>
          </w:p>
          <w:p w:rsidR="00BB19EC" w:rsidRPr="00186372" w:rsidRDefault="00BB19EC" w:rsidP="00B67878">
            <w:pPr>
              <w:tabs>
                <w:tab w:val="left" w:pos="993"/>
              </w:tabs>
              <w:ind w:firstLine="317"/>
              <w:contextualSpacing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2. Отсутствие типовых отраслевых норм труда (срок по Программе - 2013 - 2018 гг.), методических рекомендаций по разработке систем </w:t>
            </w:r>
            <w:r w:rsidRPr="00186372">
              <w:rPr>
                <w:sz w:val="22"/>
                <w:szCs w:val="22"/>
              </w:rPr>
              <w:lastRenderedPageBreak/>
              <w:t xml:space="preserve">нормирования труда в </w:t>
            </w:r>
            <w:proofErr w:type="gramStart"/>
            <w:r w:rsidRPr="00186372">
              <w:rPr>
                <w:sz w:val="22"/>
                <w:szCs w:val="22"/>
              </w:rPr>
              <w:t>учреждениях</w:t>
            </w:r>
            <w:proofErr w:type="gramEnd"/>
            <w:r w:rsidRPr="00186372">
              <w:rPr>
                <w:sz w:val="22"/>
                <w:szCs w:val="22"/>
              </w:rPr>
              <w:t xml:space="preserve">. </w:t>
            </w:r>
          </w:p>
          <w:p w:rsidR="00BB19EC" w:rsidRPr="00186372" w:rsidRDefault="00BB19EC" w:rsidP="00B67878">
            <w:pPr>
              <w:tabs>
                <w:tab w:val="left" w:pos="993"/>
              </w:tabs>
              <w:ind w:firstLine="317"/>
              <w:contextualSpacing/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B67878">
            <w:pPr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77" w:type="dxa"/>
          </w:tcPr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Разработка типовых отраслевых норм труда</w:t>
            </w:r>
          </w:p>
        </w:tc>
        <w:tc>
          <w:tcPr>
            <w:tcW w:w="1666" w:type="dxa"/>
          </w:tcPr>
          <w:p w:rsidR="00BB19EC" w:rsidRPr="00186372" w:rsidRDefault="00BB19EC" w:rsidP="00B67878">
            <w:pPr>
              <w:ind w:firstLine="141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11 марта 2013 г. «дорожная карта» согласована Министерством культуры Российской Федерации письмом за № 1705-01-55/13-НМ.</w:t>
            </w:r>
          </w:p>
          <w:p w:rsidR="00BB19EC" w:rsidRPr="00186372" w:rsidRDefault="00BB19EC" w:rsidP="00B67878">
            <w:pPr>
              <w:autoSpaceDE w:val="0"/>
              <w:autoSpaceDN w:val="0"/>
              <w:adjustRightInd w:val="0"/>
              <w:ind w:firstLine="141"/>
              <w:contextualSpacing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В рамках реализации подпункта «а» пункта 1 Указа № 597 направлен запрос в Министерство </w:t>
            </w:r>
            <w:r w:rsidRPr="00186372">
              <w:rPr>
                <w:sz w:val="22"/>
                <w:szCs w:val="22"/>
              </w:rPr>
              <w:lastRenderedPageBreak/>
              <w:t xml:space="preserve">культуры РФ для получения разъяснений по отнесению должностей и профессий к категории «работники учреждений культуры» в части обеспечения </w:t>
            </w:r>
            <w:proofErr w:type="gramStart"/>
            <w:r w:rsidRPr="00186372">
              <w:rPr>
                <w:sz w:val="22"/>
                <w:szCs w:val="22"/>
              </w:rPr>
              <w:t>уровня оплаты труда работников учреждений культуры</w:t>
            </w:r>
            <w:proofErr w:type="gramEnd"/>
            <w:r w:rsidRPr="00186372">
              <w:rPr>
                <w:sz w:val="22"/>
                <w:szCs w:val="22"/>
              </w:rPr>
              <w:t xml:space="preserve">. </w:t>
            </w:r>
          </w:p>
          <w:p w:rsidR="00BB19EC" w:rsidRPr="00186372" w:rsidRDefault="00BB19EC" w:rsidP="00B67878">
            <w:pPr>
              <w:autoSpaceDE w:val="0"/>
              <w:autoSpaceDN w:val="0"/>
              <w:adjustRightInd w:val="0"/>
              <w:ind w:firstLine="141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186372">
              <w:rPr>
                <w:sz w:val="22"/>
                <w:szCs w:val="22"/>
              </w:rPr>
              <w:t xml:space="preserve">Минкультуры РФ направлены Методические рекомендации по составу приоритетных структурных преобразований в отрасли культура, увязанные с повышением оплаты труда </w:t>
            </w:r>
            <w:r w:rsidRPr="00186372">
              <w:rPr>
                <w:sz w:val="22"/>
                <w:szCs w:val="22"/>
              </w:rPr>
              <w:lastRenderedPageBreak/>
              <w:t>отдельных категорий работников государственных и муниципальных учреждений от 25.12.2012 г. № 9122-01-54/04-НМ и Методические рекомендации по разработке планов мероприятий («дорожных карт») «Изменения, направленные на повышение эффективности сферы культуры» органами исполнительной власти субъектов Российской Федерации от 30.01.2013 г. № 657-01-</w:t>
            </w:r>
            <w:r w:rsidRPr="00186372">
              <w:rPr>
                <w:sz w:val="22"/>
                <w:szCs w:val="22"/>
              </w:rPr>
              <w:lastRenderedPageBreak/>
              <w:t>56/04- НМ.</w:t>
            </w:r>
            <w:proofErr w:type="gramEnd"/>
          </w:p>
        </w:tc>
        <w:tc>
          <w:tcPr>
            <w:tcW w:w="1594" w:type="dxa"/>
          </w:tcPr>
          <w:p w:rsidR="00BB19EC" w:rsidRPr="00186372" w:rsidRDefault="00BB19EC" w:rsidP="00025041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Поручение Указа к 2018 году будет выполнено при условии соблюдения (либо опережения) сроков разработки профессиональных стандартов, типовых отраслевых норм труда и т.п.</w:t>
            </w:r>
          </w:p>
        </w:tc>
      </w:tr>
      <w:tr w:rsidR="00BB19EC" w:rsidRPr="00186372" w:rsidTr="00B67878">
        <w:trPr>
          <w:trHeight w:val="745"/>
        </w:trPr>
        <w:tc>
          <w:tcPr>
            <w:tcW w:w="1702" w:type="dxa"/>
          </w:tcPr>
          <w:p w:rsidR="00BB19EC" w:rsidRPr="00186372" w:rsidRDefault="00BB19EC" w:rsidP="002C7C4F">
            <w:pPr>
              <w:widowControl w:val="0"/>
              <w:tabs>
                <w:tab w:val="left" w:pos="38"/>
              </w:tabs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к) совместно с общественными организациями до 1 апреля 2013 г. обеспечить формирование независимой системы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4 (б)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1 апреля 2013 г.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061349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В стадии выполнения. Срок исполнения – </w:t>
            </w:r>
            <w:r w:rsidR="00061349" w:rsidRPr="00186372">
              <w:rPr>
                <w:sz w:val="22"/>
                <w:szCs w:val="22"/>
              </w:rPr>
              <w:t>3</w:t>
            </w:r>
            <w:r w:rsidRPr="00186372">
              <w:rPr>
                <w:sz w:val="22"/>
                <w:szCs w:val="22"/>
              </w:rPr>
              <w:t xml:space="preserve">0 </w:t>
            </w:r>
            <w:r w:rsidR="00061349" w:rsidRPr="00186372">
              <w:rPr>
                <w:sz w:val="22"/>
                <w:szCs w:val="22"/>
              </w:rPr>
              <w:t>сентября</w:t>
            </w:r>
            <w:r w:rsidRPr="00186372">
              <w:rPr>
                <w:sz w:val="22"/>
                <w:szCs w:val="22"/>
              </w:rPr>
              <w:t xml:space="preserve"> 2013г.</w:t>
            </w:r>
          </w:p>
        </w:tc>
        <w:tc>
          <w:tcPr>
            <w:tcW w:w="3685" w:type="dxa"/>
            <w:shd w:val="clear" w:color="auto" w:fill="auto"/>
          </w:tcPr>
          <w:p w:rsidR="00BB19EC" w:rsidRDefault="00BB19EC" w:rsidP="001F0CEA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 w:rsidRPr="00186372">
              <w:rPr>
                <w:sz w:val="22"/>
                <w:szCs w:val="22"/>
              </w:rPr>
              <w:t xml:space="preserve">Состав Общественного совета при Министерстве культуры Республики Коми утвержден приказом министерства № 630-од от 27 декабря 2012 г. 29 марта </w:t>
            </w:r>
            <w:proofErr w:type="spellStart"/>
            <w:r w:rsidRPr="00186372">
              <w:rPr>
                <w:sz w:val="22"/>
                <w:szCs w:val="22"/>
              </w:rPr>
              <w:t>т.г</w:t>
            </w:r>
            <w:proofErr w:type="spellEnd"/>
            <w:r w:rsidRPr="00186372">
              <w:rPr>
                <w:sz w:val="22"/>
                <w:szCs w:val="22"/>
              </w:rPr>
              <w:t xml:space="preserve">. проведено первое заседание Общественного совета при Министерстве культуры Республики Коми, Членам Общественного совета доведена информация «О ходе реализации Министерством культуры Республики Коми Указа Президента Российской Федерации № 597». </w:t>
            </w:r>
            <w:r w:rsidR="001F0CEA" w:rsidRPr="000A6633">
              <w:rPr>
                <w:sz w:val="22"/>
                <w:szCs w:val="22"/>
              </w:rPr>
              <w:t>6 июня состоя</w:t>
            </w:r>
            <w:r w:rsidR="004F4AB2">
              <w:rPr>
                <w:sz w:val="22"/>
                <w:szCs w:val="22"/>
              </w:rPr>
              <w:t xml:space="preserve">лось </w:t>
            </w:r>
            <w:r w:rsidR="001F0CEA" w:rsidRPr="000A6633">
              <w:rPr>
                <w:sz w:val="22"/>
                <w:szCs w:val="22"/>
              </w:rPr>
              <w:t xml:space="preserve"> расширенное заседание коллегии министерства с участием Общественного совета при</w:t>
            </w:r>
            <w:proofErr w:type="gramEnd"/>
            <w:r w:rsidR="001F0CEA" w:rsidRPr="000A6633">
              <w:rPr>
                <w:sz w:val="22"/>
                <w:szCs w:val="22"/>
              </w:rPr>
              <w:t xml:space="preserve"> Министерстве культуры Республики </w:t>
            </w:r>
            <w:proofErr w:type="gramStart"/>
            <w:r w:rsidR="001F0CEA" w:rsidRPr="000A6633">
              <w:rPr>
                <w:sz w:val="22"/>
                <w:szCs w:val="22"/>
              </w:rPr>
              <w:t>Коми</w:t>
            </w:r>
            <w:proofErr w:type="gramEnd"/>
            <w:r w:rsidR="004F4AB2">
              <w:rPr>
                <w:sz w:val="22"/>
                <w:szCs w:val="22"/>
              </w:rPr>
              <w:t xml:space="preserve"> на котором рассматривался вопрос повышения заработной платы </w:t>
            </w:r>
            <w:bookmarkStart w:id="0" w:name="_GoBack"/>
            <w:bookmarkEnd w:id="0"/>
            <w:r w:rsidR="004F4AB2">
              <w:rPr>
                <w:sz w:val="22"/>
                <w:szCs w:val="22"/>
              </w:rPr>
              <w:t>работников культуры.</w:t>
            </w:r>
          </w:p>
          <w:p w:rsidR="000A6633" w:rsidRPr="00186372" w:rsidRDefault="000A6633" w:rsidP="001F0CEA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июня состоялось заседание Общественного совета </w:t>
            </w:r>
            <w:r w:rsidR="00CF7183">
              <w:rPr>
                <w:sz w:val="22"/>
                <w:szCs w:val="22"/>
              </w:rPr>
              <w:t>о формировании</w:t>
            </w:r>
            <w:r w:rsidRPr="00186372">
              <w:rPr>
                <w:sz w:val="22"/>
                <w:szCs w:val="22"/>
              </w:rPr>
              <w:t xml:space="preserve"> независимой системы оценки качества работы</w:t>
            </w:r>
            <w:r>
              <w:rPr>
                <w:sz w:val="22"/>
                <w:szCs w:val="22"/>
              </w:rPr>
              <w:t xml:space="preserve"> государственных (муниципальных) учреждений, </w:t>
            </w:r>
            <w:r w:rsidR="00CF7183">
              <w:rPr>
                <w:sz w:val="22"/>
                <w:szCs w:val="22"/>
              </w:rPr>
              <w:t xml:space="preserve">оказывающих </w:t>
            </w:r>
            <w:r w:rsidR="00CF7183">
              <w:rPr>
                <w:sz w:val="22"/>
                <w:szCs w:val="22"/>
              </w:rPr>
              <w:lastRenderedPageBreak/>
              <w:t xml:space="preserve">социальные услуги </w:t>
            </w:r>
            <w:r>
              <w:rPr>
                <w:sz w:val="22"/>
                <w:szCs w:val="22"/>
              </w:rPr>
              <w:t>в сфере культуры.</w:t>
            </w:r>
          </w:p>
          <w:p w:rsidR="00061349" w:rsidRPr="00186372" w:rsidRDefault="00061349" w:rsidP="001F0CEA">
            <w:pPr>
              <w:ind w:firstLine="70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Министерством культуры направлены предложения в План мероприятий по формированию независимой системы оценки качества работы организаций, оказывающих социальные услуги, на 2013 – 2015 годы в РК в Агентство Республики Коми по социальному развитию</w:t>
            </w:r>
            <w:r w:rsidR="001C7918" w:rsidRPr="00186372">
              <w:rPr>
                <w:sz w:val="22"/>
                <w:szCs w:val="22"/>
              </w:rPr>
              <w:t xml:space="preserve"> 23.05.2013 г. № 80 (</w:t>
            </w:r>
            <w:proofErr w:type="spellStart"/>
            <w:r w:rsidR="001C7918" w:rsidRPr="00186372">
              <w:rPr>
                <w:sz w:val="22"/>
                <w:szCs w:val="22"/>
              </w:rPr>
              <w:t>межвед</w:t>
            </w:r>
            <w:proofErr w:type="spellEnd"/>
            <w:r w:rsidR="001C7918" w:rsidRPr="00186372">
              <w:rPr>
                <w:sz w:val="22"/>
                <w:szCs w:val="22"/>
              </w:rPr>
              <w:t>)</w:t>
            </w:r>
            <w:r w:rsidR="00CF7183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AC459B">
            <w:pPr>
              <w:tabs>
                <w:tab w:val="left" w:pos="38"/>
                <w:tab w:val="left" w:pos="1310"/>
              </w:tabs>
              <w:ind w:right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№ 597,</w:t>
            </w:r>
          </w:p>
          <w:p w:rsidR="00BB19EC" w:rsidRPr="00186372" w:rsidRDefault="00BB19EC" w:rsidP="00AC459B">
            <w:pPr>
              <w:widowControl w:val="0"/>
              <w:tabs>
                <w:tab w:val="left" w:pos="38"/>
                <w:tab w:val="left" w:pos="1310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1. н)</w:t>
            </w:r>
          </w:p>
          <w:p w:rsidR="00BB19EC" w:rsidRPr="00186372" w:rsidRDefault="00BB19EC" w:rsidP="00AC459B">
            <w:pPr>
              <w:widowControl w:val="0"/>
              <w:tabs>
                <w:tab w:val="left" w:pos="38"/>
                <w:tab w:val="left" w:pos="1310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включать ежегодно в Национальную электронную библиотеку не менее 10 процентов издаваемых в РФ наименований книг</w:t>
            </w:r>
          </w:p>
          <w:p w:rsidR="00BB19EC" w:rsidRPr="00186372" w:rsidRDefault="00BB19EC" w:rsidP="00AC459B">
            <w:pPr>
              <w:widowControl w:val="0"/>
              <w:tabs>
                <w:tab w:val="left" w:pos="38"/>
                <w:tab w:val="left" w:pos="1310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- постоянно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86372">
              <w:rPr>
                <w:color w:val="000000" w:themeColor="text1"/>
                <w:sz w:val="22"/>
                <w:szCs w:val="22"/>
              </w:rPr>
              <w:t>В Республике Коми создан и пополняется сводный каталог библиотек Республики Коми – как часть Национальной электронной библиотеки (НЭБ). В электронную форму переводятся актуальная краеведческая и национальная детская литература, как региональный компонент НЭБ.</w:t>
            </w:r>
            <w:r w:rsidRPr="00186372">
              <w:rPr>
                <w:sz w:val="22"/>
                <w:szCs w:val="22"/>
              </w:rPr>
              <w:t xml:space="preserve"> </w:t>
            </w:r>
            <w:r w:rsidRPr="00186372">
              <w:rPr>
                <w:color w:val="000000" w:themeColor="text1"/>
                <w:sz w:val="22"/>
                <w:szCs w:val="22"/>
              </w:rPr>
              <w:t xml:space="preserve">Доля изданий актуальной краеведческой литературы и национальной детской литературы, переведенных в электронную форму и включенных в Национальную электронную библиотеку Республики Коми от общего объема актуальной краеведческой литературы и национальной детской литературы составляет 2 процента.  </w:t>
            </w:r>
            <w:r w:rsidRPr="00186372">
              <w:rPr>
                <w:color w:val="000000" w:themeColor="text1"/>
                <w:sz w:val="22"/>
                <w:szCs w:val="22"/>
              </w:rPr>
              <w:lastRenderedPageBreak/>
              <w:t xml:space="preserve">Среднегодовой прирост показателя составляет около 70 документов.  </w:t>
            </w:r>
            <w:proofErr w:type="gramStart"/>
            <w:r w:rsidRPr="00186372">
              <w:rPr>
                <w:color w:val="000000" w:themeColor="text1"/>
                <w:sz w:val="22"/>
                <w:szCs w:val="22"/>
              </w:rPr>
              <w:t>В «дорожные карты» (РК и МО МР</w:t>
            </w:r>
            <w:r w:rsidR="001C7918" w:rsidRPr="00186372">
              <w:rPr>
                <w:color w:val="000000" w:themeColor="text1"/>
                <w:sz w:val="22"/>
                <w:szCs w:val="22"/>
              </w:rPr>
              <w:t xml:space="preserve"> (ГО)</w:t>
            </w:r>
            <w:r w:rsidRPr="00186372">
              <w:rPr>
                <w:color w:val="000000" w:themeColor="text1"/>
                <w:sz w:val="22"/>
                <w:szCs w:val="22"/>
              </w:rPr>
              <w:t xml:space="preserve"> включен соответствующий показатель.</w:t>
            </w:r>
            <w:proofErr w:type="gramEnd"/>
          </w:p>
          <w:p w:rsidR="00BB19EC" w:rsidRPr="00186372" w:rsidRDefault="00936544" w:rsidP="009365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6544">
              <w:rPr>
                <w:color w:val="000000" w:themeColor="text1"/>
                <w:sz w:val="22"/>
                <w:szCs w:val="22"/>
              </w:rPr>
              <w:t>На 1 июля 2013 года в электронный вид переведено 459 документов. Что составляет 0,9% от общего фонда краеведческих изданий, подлежащих оцифровке и 1,29% от перечня актуальной краеведческой литературы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Ограниченные технические (а также кадровые) возможности оцифровки, сложности при заключении договоров с правообладателями.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 в части регионального компонента НЭБ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AC459B">
            <w:pPr>
              <w:widowControl w:val="0"/>
              <w:tabs>
                <w:tab w:val="left" w:pos="38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186372">
              <w:rPr>
                <w:sz w:val="22"/>
                <w:szCs w:val="22"/>
              </w:rPr>
              <w:t>целях</w:t>
            </w:r>
            <w:proofErr w:type="gramEnd"/>
            <w:r w:rsidRPr="00186372">
              <w:rPr>
                <w:sz w:val="22"/>
                <w:szCs w:val="22"/>
              </w:rPr>
              <w:t xml:space="preserve"> дальнейшего сохранения и развития российской культуры:</w:t>
            </w:r>
          </w:p>
          <w:p w:rsidR="00BB19EC" w:rsidRPr="00186372" w:rsidRDefault="00BB19EC" w:rsidP="00AC459B">
            <w:pPr>
              <w:widowControl w:val="0"/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-обеспечить поддержку создания публичных электронных библиотек, сайтов музеев и театров в информационно-телекоммуникационной сети Интернет;</w:t>
            </w:r>
          </w:p>
          <w:p w:rsidR="00BB19EC" w:rsidRPr="00186372" w:rsidRDefault="00BB19EC" w:rsidP="00AC459B">
            <w:pPr>
              <w:tabs>
                <w:tab w:val="left" w:pos="38"/>
              </w:tabs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отсутствует</w:t>
            </w: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– 2018 год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Сайты для обслуживания удалённых пользователей в сети Интернет созданы и функционируют в </w:t>
            </w:r>
            <w:r w:rsidR="00936544">
              <w:rPr>
                <w:sz w:val="22"/>
                <w:szCs w:val="22"/>
              </w:rPr>
              <w:t>21 государственном учреждении</w:t>
            </w:r>
            <w:r w:rsidRPr="00186372">
              <w:rPr>
                <w:sz w:val="22"/>
                <w:szCs w:val="22"/>
              </w:rPr>
              <w:t xml:space="preserve"> культуры и искусства Республики Коми, в том числе во всех, указанных в поручении, собственный сайт также имеют 17 Централизованных библиотечных с</w:t>
            </w:r>
            <w:r w:rsidR="00936544">
              <w:rPr>
                <w:sz w:val="22"/>
                <w:szCs w:val="22"/>
              </w:rPr>
              <w:t xml:space="preserve">истем муниципальных образований, 5 муниципальных музеев. </w:t>
            </w:r>
            <w:r w:rsidRPr="00186372">
              <w:rPr>
                <w:sz w:val="22"/>
                <w:szCs w:val="22"/>
              </w:rPr>
              <w:t xml:space="preserve">Информация о коллекциях </w:t>
            </w:r>
            <w:r w:rsidR="00936544">
              <w:rPr>
                <w:sz w:val="22"/>
                <w:szCs w:val="22"/>
              </w:rPr>
              <w:t xml:space="preserve"> всех </w:t>
            </w:r>
            <w:r w:rsidRPr="00186372">
              <w:rPr>
                <w:sz w:val="22"/>
                <w:szCs w:val="22"/>
              </w:rPr>
              <w:t>муниципальных музеев представлена на сайте Национального музея РК.</w:t>
            </w:r>
          </w:p>
          <w:p w:rsidR="00BB19EC" w:rsidRPr="00186372" w:rsidRDefault="006114AE" w:rsidP="006114AE">
            <w:pPr>
              <w:jc w:val="both"/>
              <w:rPr>
                <w:sz w:val="22"/>
                <w:szCs w:val="22"/>
              </w:rPr>
            </w:pPr>
            <w:r w:rsidRPr="00936544">
              <w:rPr>
                <w:sz w:val="22"/>
                <w:szCs w:val="22"/>
              </w:rPr>
              <w:t>К 1 июня</w:t>
            </w:r>
            <w:r w:rsidR="00BB19EC" w:rsidRPr="00936544">
              <w:rPr>
                <w:sz w:val="22"/>
                <w:szCs w:val="22"/>
              </w:rPr>
              <w:t xml:space="preserve"> 2013 г. </w:t>
            </w:r>
            <w:r w:rsidRPr="00936544">
              <w:rPr>
                <w:sz w:val="22"/>
                <w:szCs w:val="22"/>
              </w:rPr>
              <w:t xml:space="preserve">в информационно-телекоммуникационной сети Интернет представлено 18 государственных учреждений </w:t>
            </w:r>
            <w:r w:rsidRPr="00936544">
              <w:rPr>
                <w:sz w:val="22"/>
                <w:szCs w:val="22"/>
              </w:rPr>
              <w:lastRenderedPageBreak/>
              <w:t>культуры и искусства, общественных организаций и групп сферы культуры РК</w:t>
            </w:r>
            <w:r w:rsidR="00BB19EC" w:rsidRPr="00936544">
              <w:rPr>
                <w:sz w:val="22"/>
                <w:szCs w:val="22"/>
              </w:rPr>
              <w:t xml:space="preserve"> на страницах в социальных сетях</w:t>
            </w:r>
            <w:r w:rsidRPr="00936544">
              <w:rPr>
                <w:sz w:val="22"/>
                <w:szCs w:val="22"/>
              </w:rPr>
              <w:t>.</w:t>
            </w:r>
            <w:r w:rsidR="00BB19EC" w:rsidRPr="001863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AC459B">
            <w:pPr>
              <w:widowControl w:val="0"/>
              <w:tabs>
                <w:tab w:val="left" w:pos="38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обеспечить создание до 1 марта 2013 г. передвижного фонда ведущих российских музеев для экспонирования произведений искусства в музеях и галереях малых и средних городов, а также создать к 2018 году 27 виртуальных музеев;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2018 год</w:t>
            </w: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– 2018 г.</w:t>
            </w:r>
          </w:p>
        </w:tc>
        <w:tc>
          <w:tcPr>
            <w:tcW w:w="3685" w:type="dxa"/>
            <w:shd w:val="clear" w:color="auto" w:fill="auto"/>
          </w:tcPr>
          <w:p w:rsidR="00BB19EC" w:rsidRPr="00B67878" w:rsidRDefault="00BB19EC" w:rsidP="001541EF">
            <w:pPr>
              <w:jc w:val="both"/>
              <w:rPr>
                <w:sz w:val="22"/>
                <w:szCs w:val="22"/>
              </w:rPr>
            </w:pPr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>Виртуальная прогулка по экспозициям ГБУ РК  «Национальный музей Республики Коми» (</w:t>
            </w:r>
            <w:hyperlink r:id="rId6" w:history="1">
              <w:r w:rsidRPr="00B67878">
                <w:rPr>
                  <w:rStyle w:val="a3"/>
                  <w:color w:val="auto"/>
                  <w:sz w:val="22"/>
                  <w:szCs w:val="22"/>
                </w:rPr>
                <w:t>http://culture.ru/museums/</w:t>
              </w:r>
            </w:hyperlink>
            <w:r w:rsidRPr="00B67878">
              <w:rPr>
                <w:sz w:val="22"/>
                <w:szCs w:val="22"/>
              </w:rPr>
              <w:t>) представлена на</w:t>
            </w:r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 xml:space="preserve"> портале </w:t>
            </w:r>
            <w:proofErr w:type="spellStart"/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>культура</w:t>
            </w:r>
            <w:proofErr w:type="gramStart"/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>ф</w:t>
            </w:r>
            <w:proofErr w:type="spellEnd"/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 xml:space="preserve">  в разделе «Виртуальные музеи». </w:t>
            </w:r>
            <w:r w:rsidR="001541EF"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>Промежуточная</w:t>
            </w:r>
            <w:r w:rsidRPr="00B67878">
              <w:rPr>
                <w:rStyle w:val="a6"/>
                <w:b w:val="0"/>
                <w:sz w:val="22"/>
                <w:szCs w:val="22"/>
                <w:shd w:val="clear" w:color="auto" w:fill="FFFFFF"/>
              </w:rPr>
              <w:t xml:space="preserve"> отчетность не предусмотрена.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AC459B">
            <w:pPr>
              <w:widowControl w:val="0"/>
              <w:tabs>
                <w:tab w:val="left" w:pos="38"/>
              </w:tabs>
              <w:autoSpaceDE w:val="0"/>
              <w:autoSpaceDN w:val="0"/>
              <w:adjustRightInd w:val="0"/>
              <w:ind w:right="34"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-увеличить к 2018 году в два раза количество выставочных проектов, </w:t>
            </w:r>
            <w:r w:rsidRPr="00186372">
              <w:rPr>
                <w:sz w:val="22"/>
                <w:szCs w:val="22"/>
              </w:rPr>
              <w:lastRenderedPageBreak/>
              <w:t>осуществляемых в субъектах Российской Федерации;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2018 год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– 2018 г.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В РК ежегодно реализуется не менее 2 межрегиональных (международных) выставочных проектов. </w:t>
            </w:r>
            <w:proofErr w:type="gramStart"/>
            <w:r w:rsidRPr="00186372">
              <w:rPr>
                <w:sz w:val="22"/>
                <w:szCs w:val="22"/>
              </w:rPr>
              <w:t>В «дорожные карты» (РК и МО МР (ГО) включен соответствующий показатель.</w:t>
            </w:r>
            <w:proofErr w:type="gramEnd"/>
          </w:p>
          <w:p w:rsidR="00936544" w:rsidRPr="00186372" w:rsidRDefault="00936544" w:rsidP="00A124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 29 </w:t>
            </w:r>
            <w:r w:rsidRPr="00936544">
              <w:rPr>
                <w:sz w:val="22"/>
                <w:szCs w:val="22"/>
              </w:rPr>
              <w:t xml:space="preserve">мая в </w:t>
            </w:r>
            <w:proofErr w:type="gramStart"/>
            <w:r w:rsidRPr="00936544">
              <w:rPr>
                <w:sz w:val="22"/>
                <w:szCs w:val="22"/>
              </w:rPr>
              <w:t>рамках</w:t>
            </w:r>
            <w:proofErr w:type="gramEnd"/>
            <w:r w:rsidRPr="00936544">
              <w:rPr>
                <w:sz w:val="22"/>
                <w:szCs w:val="22"/>
              </w:rPr>
              <w:t xml:space="preserve"> международного проекта организована выставка «Сказки братьев Гримм в иллюстрациях эстонских художников».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BB19EC" w:rsidRPr="00186372" w:rsidTr="00B67878">
        <w:tc>
          <w:tcPr>
            <w:tcW w:w="1702" w:type="dxa"/>
          </w:tcPr>
          <w:p w:rsidR="00BB19EC" w:rsidRPr="00186372" w:rsidRDefault="00BB19EC" w:rsidP="002C7C4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-увеличить к 2015 году до 4 тыс. количество государственных стипендий для выдающихся деятелей культуры и искусства и молодых талантливых авторов;</w:t>
            </w:r>
          </w:p>
          <w:p w:rsidR="00BB19EC" w:rsidRPr="00186372" w:rsidRDefault="00BB19EC" w:rsidP="002C7C4F">
            <w:pPr>
              <w:tabs>
                <w:tab w:val="left" w:pos="38"/>
              </w:tabs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2015 г.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– 2015 г.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186372">
              <w:rPr>
                <w:color w:val="000000" w:themeColor="text1"/>
                <w:sz w:val="22"/>
                <w:szCs w:val="22"/>
              </w:rPr>
              <w:t>В «дорожные карты» (РК и МО МР (ГО) включен соответствующий показатель.</w:t>
            </w:r>
            <w:proofErr w:type="gramEnd"/>
          </w:p>
          <w:p w:rsidR="00BB19EC" w:rsidRPr="00186372" w:rsidRDefault="00BB19EC" w:rsidP="002C7C4F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186372">
              <w:rPr>
                <w:color w:val="000000" w:themeColor="text1"/>
                <w:sz w:val="22"/>
                <w:szCs w:val="22"/>
              </w:rPr>
              <w:t xml:space="preserve">В 1 кв. 2013 г. в соответствии с планом присуждена 1 государственная премия - </w:t>
            </w:r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премия Правительства Республики Коми имени</w:t>
            </w:r>
            <w:r w:rsidR="00B6787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С.И.Оверина</w:t>
            </w:r>
            <w:proofErr w:type="spellEnd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в области декоративно-прикладного искусства и народных художественных промыслов </w:t>
            </w:r>
            <w:proofErr w:type="spellStart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Махову</w:t>
            </w:r>
            <w:proofErr w:type="spellEnd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О.П. (в соотв. с распоряжением Правительства РК от 12.04.2013 № 136-р).</w:t>
            </w:r>
          </w:p>
          <w:p w:rsidR="00BB19EC" w:rsidRPr="00186372" w:rsidRDefault="00BB19EC" w:rsidP="002C7C4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Всего запланировано – 10 премий, в </w:t>
            </w:r>
            <w:proofErr w:type="spellStart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т.ч</w:t>
            </w:r>
            <w:proofErr w:type="spellEnd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. 1 – в 1 кв., 7 - в 3 кв., 2 – в 4 кв. </w:t>
            </w:r>
            <w:proofErr w:type="spellStart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т.г</w:t>
            </w:r>
            <w:proofErr w:type="spellEnd"/>
            <w:r w:rsidRPr="0018637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18637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BB19EC" w:rsidRPr="00186372" w:rsidTr="00B67878">
        <w:trPr>
          <w:trHeight w:val="461"/>
        </w:trPr>
        <w:tc>
          <w:tcPr>
            <w:tcW w:w="1702" w:type="dxa"/>
          </w:tcPr>
          <w:p w:rsidR="00BB19EC" w:rsidRPr="00186372" w:rsidRDefault="00BB19EC" w:rsidP="002C7C4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-увеличить к 2018 году в целях выявления и поддержки юных талантов число детей, привлекаемых к участию в творческих </w:t>
            </w:r>
            <w:r w:rsidRPr="00186372">
              <w:rPr>
                <w:sz w:val="22"/>
                <w:szCs w:val="22"/>
              </w:rPr>
              <w:lastRenderedPageBreak/>
              <w:t>мероприятиях, до 8 процентов от общего числа детей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2018 г.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стадии выполнения. Срок  - 2018 г.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proofErr w:type="gramStart"/>
            <w:r w:rsidRPr="00186372">
              <w:rPr>
                <w:sz w:val="22"/>
                <w:szCs w:val="22"/>
              </w:rPr>
              <w:t>В «дорожные карты» (РК и МО МР (ГО) включен соответствующий показатель.</w:t>
            </w:r>
            <w:proofErr w:type="gramEnd"/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</w:t>
            </w:r>
            <w:proofErr w:type="gramStart"/>
            <w:r w:rsidRPr="00186372">
              <w:rPr>
                <w:sz w:val="22"/>
                <w:szCs w:val="22"/>
              </w:rPr>
              <w:t xml:space="preserve">В 1 кв. </w:t>
            </w:r>
            <w:proofErr w:type="spellStart"/>
            <w:r w:rsidRPr="00186372">
              <w:rPr>
                <w:sz w:val="22"/>
                <w:szCs w:val="22"/>
              </w:rPr>
              <w:t>т.г</w:t>
            </w:r>
            <w:proofErr w:type="spellEnd"/>
            <w:r w:rsidRPr="00186372">
              <w:rPr>
                <w:sz w:val="22"/>
                <w:szCs w:val="22"/>
              </w:rPr>
              <w:t xml:space="preserve">. по линии министерства в творческих мероприятиях (как непосредственные участники) приняли участие всего 750 человек в возрасте до 18 лет, из них 428 человек прошли отборочные туры в муниципальных образованиях и </w:t>
            </w:r>
            <w:r w:rsidRPr="00186372">
              <w:rPr>
                <w:sz w:val="22"/>
                <w:szCs w:val="22"/>
              </w:rPr>
              <w:lastRenderedPageBreak/>
              <w:t>стали участниками республиканского и межрегионального уровней (XII Межрегиональный конкурс учащихся исполнительских отделений образовательных учреждений дополнительного образования «Юные дарования – 2013» им. Я.С. Перепелицы – 137 чел</w:t>
            </w:r>
            <w:proofErr w:type="gramEnd"/>
            <w:r w:rsidRPr="00186372">
              <w:rPr>
                <w:sz w:val="22"/>
                <w:szCs w:val="22"/>
              </w:rPr>
              <w:t xml:space="preserve">., </w:t>
            </w:r>
            <w:proofErr w:type="gramStart"/>
            <w:r w:rsidRPr="00186372">
              <w:rPr>
                <w:sz w:val="22"/>
                <w:szCs w:val="22"/>
              </w:rPr>
              <w:t>Фестиваль хореографических коллективов "Весенняя рапсодия 2013" – 261 чел., Республиканская творческая мастерская «</w:t>
            </w:r>
            <w:proofErr w:type="spellStart"/>
            <w:r w:rsidRPr="00186372">
              <w:rPr>
                <w:sz w:val="22"/>
                <w:szCs w:val="22"/>
              </w:rPr>
              <w:t>Томлун</w:t>
            </w:r>
            <w:proofErr w:type="spellEnd"/>
            <w:r w:rsidRPr="00186372">
              <w:rPr>
                <w:sz w:val="22"/>
                <w:szCs w:val="22"/>
              </w:rPr>
              <w:t>» - 30 чел.).</w:t>
            </w:r>
            <w:proofErr w:type="gramEnd"/>
          </w:p>
          <w:p w:rsidR="00A124E9" w:rsidRPr="00A124E9" w:rsidRDefault="00A124E9" w:rsidP="00A124E9">
            <w:pPr>
              <w:jc w:val="both"/>
              <w:rPr>
                <w:sz w:val="22"/>
                <w:szCs w:val="22"/>
              </w:rPr>
            </w:pPr>
            <w:r w:rsidRPr="00A124E9">
              <w:rPr>
                <w:sz w:val="22"/>
                <w:szCs w:val="22"/>
              </w:rPr>
              <w:t>В творческих культурно-массовых мероприятиях муниципального уровня в сфере культуры в 1 полугодии  приняли участие 3 875 человек.</w:t>
            </w:r>
          </w:p>
          <w:p w:rsidR="00A124E9" w:rsidRPr="00A124E9" w:rsidRDefault="00A124E9" w:rsidP="00A124E9">
            <w:pPr>
              <w:jc w:val="both"/>
              <w:rPr>
                <w:sz w:val="22"/>
                <w:szCs w:val="22"/>
              </w:rPr>
            </w:pPr>
            <w:r w:rsidRPr="00A124E9">
              <w:rPr>
                <w:sz w:val="22"/>
                <w:szCs w:val="22"/>
              </w:rPr>
              <w:t xml:space="preserve">Всего за 1 кв. вовлечено – 2 930 чел., план  на год  - 9 900 человек (5,5% от числа детей в </w:t>
            </w:r>
            <w:proofErr w:type="gramStart"/>
            <w:r w:rsidRPr="00A124E9">
              <w:rPr>
                <w:sz w:val="22"/>
                <w:szCs w:val="22"/>
              </w:rPr>
              <w:t>возрасте</w:t>
            </w:r>
            <w:proofErr w:type="gramEnd"/>
            <w:r w:rsidRPr="00A124E9">
              <w:rPr>
                <w:sz w:val="22"/>
                <w:szCs w:val="22"/>
              </w:rPr>
              <w:t xml:space="preserve"> до 18 лет).</w:t>
            </w:r>
          </w:p>
          <w:p w:rsidR="001541EF" w:rsidRPr="00186372" w:rsidRDefault="001541EF" w:rsidP="002C7C4F">
            <w:pPr>
              <w:jc w:val="both"/>
              <w:rPr>
                <w:sz w:val="22"/>
                <w:szCs w:val="22"/>
              </w:rPr>
            </w:pPr>
            <w:r w:rsidRPr="00A124E9">
              <w:rPr>
                <w:sz w:val="22"/>
                <w:szCs w:val="22"/>
              </w:rPr>
              <w:t>Промежуточная отчетность не предусмотрена.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будет выполнено</w:t>
            </w:r>
          </w:p>
        </w:tc>
      </w:tr>
      <w:tr w:rsidR="002A0D18" w:rsidRPr="00186372" w:rsidTr="00B67878">
        <w:tc>
          <w:tcPr>
            <w:tcW w:w="1702" w:type="dxa"/>
          </w:tcPr>
          <w:p w:rsidR="00BB19EC" w:rsidRPr="00186372" w:rsidRDefault="00BB19EC" w:rsidP="002C7C4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 xml:space="preserve">№ 597, 2. б) разработать до 1 ноября 2012 г. комплекс мер по расширению </w:t>
            </w:r>
            <w:r w:rsidRPr="00186372">
              <w:rPr>
                <w:sz w:val="22"/>
                <w:szCs w:val="22"/>
              </w:rPr>
              <w:lastRenderedPageBreak/>
              <w:t>практики обмена выставками между музеями Российской Федерации, по работе музеев в вечернее и ночное время и обеспечить их реализацию</w:t>
            </w:r>
          </w:p>
        </w:tc>
        <w:tc>
          <w:tcPr>
            <w:tcW w:w="1417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1 ноября 2012 г.</w:t>
            </w:r>
          </w:p>
        </w:tc>
        <w:tc>
          <w:tcPr>
            <w:tcW w:w="1242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выполнено</w:t>
            </w:r>
          </w:p>
        </w:tc>
        <w:tc>
          <w:tcPr>
            <w:tcW w:w="36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1. В рамках заключенных соглашений и проектов соглашений о сотрудничестве в сфере культуры на 2013 г. предусмотрена организация обменных выставок, реализация межрегиональных </w:t>
            </w:r>
            <w:r w:rsidRPr="00186372">
              <w:rPr>
                <w:sz w:val="22"/>
                <w:szCs w:val="22"/>
              </w:rPr>
              <w:lastRenderedPageBreak/>
              <w:t>выставочных проектов.</w:t>
            </w:r>
          </w:p>
          <w:p w:rsidR="002A0D18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A124E9">
              <w:rPr>
                <w:sz w:val="22"/>
                <w:szCs w:val="22"/>
              </w:rPr>
              <w:t xml:space="preserve">В </w:t>
            </w:r>
            <w:r w:rsidR="001541EF" w:rsidRPr="00A124E9">
              <w:rPr>
                <w:sz w:val="22"/>
                <w:szCs w:val="22"/>
              </w:rPr>
              <w:t xml:space="preserve">январе - </w:t>
            </w:r>
            <w:r w:rsidR="00186372" w:rsidRPr="00A124E9">
              <w:rPr>
                <w:sz w:val="22"/>
                <w:szCs w:val="22"/>
              </w:rPr>
              <w:t>мае</w:t>
            </w:r>
            <w:r w:rsidRPr="00A124E9">
              <w:rPr>
                <w:sz w:val="22"/>
                <w:szCs w:val="22"/>
              </w:rPr>
              <w:t xml:space="preserve"> 2013 г.</w:t>
            </w:r>
            <w:r w:rsidR="002A0D18" w:rsidRPr="00A124E9">
              <w:rPr>
                <w:sz w:val="22"/>
                <w:szCs w:val="22"/>
              </w:rPr>
              <w:t xml:space="preserve"> </w:t>
            </w:r>
            <w:r w:rsidR="00186372" w:rsidRPr="00A124E9">
              <w:rPr>
                <w:sz w:val="22"/>
                <w:szCs w:val="22"/>
              </w:rPr>
              <w:t>реализовывается 5</w:t>
            </w:r>
            <w:r w:rsidR="002A0D18" w:rsidRPr="00A124E9">
              <w:rPr>
                <w:sz w:val="22"/>
                <w:szCs w:val="22"/>
              </w:rPr>
              <w:t xml:space="preserve"> проект</w:t>
            </w:r>
            <w:r w:rsidR="006114AE" w:rsidRPr="00A124E9">
              <w:rPr>
                <w:sz w:val="22"/>
                <w:szCs w:val="22"/>
              </w:rPr>
              <w:t>ов</w:t>
            </w:r>
            <w:r w:rsidR="002A0D18" w:rsidRPr="00A124E9">
              <w:rPr>
                <w:sz w:val="22"/>
                <w:szCs w:val="22"/>
              </w:rPr>
              <w:t>:</w:t>
            </w: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в Национальном </w:t>
            </w:r>
            <w:proofErr w:type="gramStart"/>
            <w:r w:rsidRPr="00186372">
              <w:rPr>
                <w:sz w:val="22"/>
                <w:szCs w:val="22"/>
              </w:rPr>
              <w:t>музее</w:t>
            </w:r>
            <w:proofErr w:type="gramEnd"/>
            <w:r w:rsidRPr="00186372">
              <w:rPr>
                <w:sz w:val="22"/>
                <w:szCs w:val="22"/>
              </w:rPr>
              <w:t xml:space="preserve"> РК до 3 марта действовала выставка (межрегиональный проект) «Тропою северных оленей», посвященная традиционной культуре коми-</w:t>
            </w:r>
            <w:proofErr w:type="spellStart"/>
            <w:r w:rsidRPr="00186372">
              <w:rPr>
                <w:sz w:val="22"/>
                <w:szCs w:val="22"/>
              </w:rPr>
              <w:t>ижемцев</w:t>
            </w:r>
            <w:proofErr w:type="spellEnd"/>
            <w:r w:rsidRPr="00186372">
              <w:rPr>
                <w:sz w:val="22"/>
                <w:szCs w:val="22"/>
              </w:rPr>
              <w:t xml:space="preserve"> и образу жизни отдельных народов Севера</w:t>
            </w:r>
            <w:r w:rsidR="001541EF" w:rsidRPr="00186372">
              <w:rPr>
                <w:sz w:val="22"/>
                <w:szCs w:val="22"/>
              </w:rPr>
              <w:t>;</w:t>
            </w:r>
          </w:p>
          <w:p w:rsidR="00186372" w:rsidRPr="00186372" w:rsidRDefault="00BB19EC" w:rsidP="002C7C4F">
            <w:pPr>
              <w:ind w:firstLine="53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в Национальной галерее РК</w:t>
            </w:r>
            <w:r w:rsidR="001541EF" w:rsidRPr="00186372">
              <w:rPr>
                <w:sz w:val="22"/>
                <w:szCs w:val="22"/>
              </w:rPr>
              <w:t>:</w:t>
            </w:r>
            <w:r w:rsidRPr="00186372">
              <w:rPr>
                <w:sz w:val="22"/>
                <w:szCs w:val="22"/>
              </w:rPr>
              <w:t xml:space="preserve"> </w:t>
            </w:r>
          </w:p>
          <w:p w:rsidR="00BB19EC" w:rsidRPr="00186372" w:rsidRDefault="00BB19EC" w:rsidP="002C7C4F">
            <w:pPr>
              <w:ind w:firstLine="53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 выставка Дмитрия Кондратьева "Добрая весть. В унисон с Марком Шагалом" (</w:t>
            </w:r>
            <w:proofErr w:type="spellStart"/>
            <w:r w:rsidRPr="00186372">
              <w:rPr>
                <w:sz w:val="22"/>
                <w:szCs w:val="22"/>
              </w:rPr>
              <w:t>г</w:t>
            </w:r>
            <w:proofErr w:type="gramStart"/>
            <w:r w:rsidRPr="00186372">
              <w:rPr>
                <w:sz w:val="22"/>
                <w:szCs w:val="22"/>
              </w:rPr>
              <w:t>.В</w:t>
            </w:r>
            <w:proofErr w:type="gramEnd"/>
            <w:r w:rsidRPr="00186372">
              <w:rPr>
                <w:sz w:val="22"/>
                <w:szCs w:val="22"/>
              </w:rPr>
              <w:t>еликий</w:t>
            </w:r>
            <w:proofErr w:type="spellEnd"/>
            <w:r w:rsidRPr="00186372">
              <w:rPr>
                <w:sz w:val="22"/>
                <w:szCs w:val="22"/>
              </w:rPr>
              <w:t xml:space="preserve"> Новгород) (15 марта - 18 апреля)</w:t>
            </w:r>
            <w:r w:rsidR="001541EF" w:rsidRPr="00186372">
              <w:rPr>
                <w:sz w:val="22"/>
                <w:szCs w:val="22"/>
              </w:rPr>
              <w:t>;</w:t>
            </w:r>
          </w:p>
          <w:p w:rsidR="001541EF" w:rsidRPr="00186372" w:rsidRDefault="002A0D18" w:rsidP="002C7C4F">
            <w:pPr>
              <w:ind w:firstLine="53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- </w:t>
            </w:r>
            <w:r w:rsidR="001541EF" w:rsidRPr="00186372">
              <w:rPr>
                <w:sz w:val="22"/>
                <w:szCs w:val="22"/>
              </w:rPr>
              <w:t>выставка народного иску</w:t>
            </w:r>
            <w:r w:rsidR="00AA4BB2" w:rsidRPr="00186372">
              <w:rPr>
                <w:sz w:val="22"/>
                <w:szCs w:val="22"/>
              </w:rPr>
              <w:t>сства Архангельской области "Ре</w:t>
            </w:r>
            <w:r w:rsidR="001541EF" w:rsidRPr="00186372">
              <w:rPr>
                <w:sz w:val="22"/>
                <w:szCs w:val="22"/>
              </w:rPr>
              <w:t>месло за плечами не виснет" (с 26 апреля);</w:t>
            </w:r>
          </w:p>
          <w:p w:rsidR="001541EF" w:rsidRPr="00186372" w:rsidRDefault="002A0D18" w:rsidP="001541EF">
            <w:pPr>
              <w:ind w:firstLine="53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- в</w:t>
            </w:r>
            <w:r w:rsidR="001541EF" w:rsidRPr="00186372">
              <w:rPr>
                <w:sz w:val="22"/>
                <w:szCs w:val="22"/>
              </w:rPr>
              <w:t>ыставка Д. Свешникова «Красота и величие Севера» (из фонда Ненецкого краеведческого музея) (с 25 апреля);</w:t>
            </w:r>
          </w:p>
          <w:p w:rsidR="006114AE" w:rsidRPr="00186372" w:rsidRDefault="006114AE" w:rsidP="00186372">
            <w:pPr>
              <w:ind w:firstLine="539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 - выставка «Романтический монтаж». Живопись, графика, скульптура 1920-30-х годов из собрания музея-заповедника «Абрамцево»</w:t>
            </w:r>
            <w:r w:rsidR="00186372" w:rsidRPr="00186372">
              <w:rPr>
                <w:sz w:val="22"/>
                <w:szCs w:val="22"/>
              </w:rPr>
              <w:t xml:space="preserve"> с 14 мая</w:t>
            </w:r>
            <w:r w:rsidRPr="00186372">
              <w:rPr>
                <w:sz w:val="22"/>
                <w:szCs w:val="22"/>
              </w:rPr>
              <w:t>.</w:t>
            </w:r>
          </w:p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Государственными музеями Республики Коми разработан план </w:t>
            </w:r>
            <w:r w:rsidRPr="00186372">
              <w:rPr>
                <w:sz w:val="22"/>
                <w:szCs w:val="22"/>
              </w:rPr>
              <w:lastRenderedPageBreak/>
              <w:t>организации передвижных выставок музейных предметов и музейных коллекций в муниципальных музеях республики в соответствии с заявками муниципальных образований (2-4 кв. 2013 г.).</w:t>
            </w:r>
          </w:p>
          <w:p w:rsidR="00BB19EC" w:rsidRPr="00186372" w:rsidRDefault="00BB19EC" w:rsidP="002C7C4F">
            <w:pPr>
              <w:ind w:firstLine="539"/>
              <w:jc w:val="both"/>
              <w:rPr>
                <w:sz w:val="22"/>
                <w:szCs w:val="22"/>
              </w:rPr>
            </w:pPr>
          </w:p>
          <w:p w:rsidR="00BB19EC" w:rsidRPr="00186372" w:rsidRDefault="00BB19EC" w:rsidP="002C7C4F">
            <w:pPr>
              <w:ind w:hanging="1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2. Во всех муниципальных музеях действует практика обслуживания населения по предварительным заявкам – в удобное для посетителей время, в том числе и в вечерние часы.</w:t>
            </w:r>
          </w:p>
          <w:p w:rsidR="00BB19EC" w:rsidRPr="00186372" w:rsidRDefault="00BB19EC" w:rsidP="002C7C4F">
            <w:pPr>
              <w:ind w:hanging="1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 xml:space="preserve">В </w:t>
            </w:r>
            <w:r w:rsidR="00A124E9">
              <w:rPr>
                <w:sz w:val="22"/>
                <w:szCs w:val="22"/>
              </w:rPr>
              <w:t>двенадцати</w:t>
            </w:r>
            <w:r w:rsidRPr="00186372">
              <w:rPr>
                <w:sz w:val="22"/>
                <w:szCs w:val="22"/>
              </w:rPr>
              <w:t xml:space="preserve"> из восемнадцати муниципальных музеев график работы в вечернее время изменён в сторону увеличения. </w:t>
            </w:r>
          </w:p>
          <w:p w:rsidR="00BB19EC" w:rsidRPr="00186372" w:rsidRDefault="00BB19EC" w:rsidP="002C7C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Утвержден приказ министерства № 126-од от 12.03.2013 г. «О мерах по улучшению качества обслуживания населения государственными музеями Республики Коми».</w:t>
            </w:r>
          </w:p>
          <w:p w:rsidR="001136F5" w:rsidRPr="00A124E9" w:rsidRDefault="001136F5" w:rsidP="00A124E9">
            <w:pPr>
              <w:jc w:val="both"/>
            </w:pPr>
            <w:r w:rsidRPr="00186372">
              <w:rPr>
                <w:sz w:val="22"/>
                <w:szCs w:val="22"/>
              </w:rPr>
              <w:t xml:space="preserve">В соответствии с данным приказом ГБУ РК «Национальная галерея»  </w:t>
            </w:r>
            <w:r w:rsidRPr="00A124E9">
              <w:rPr>
                <w:sz w:val="22"/>
                <w:szCs w:val="22"/>
              </w:rPr>
              <w:t>изменила режим работы с мая 2013 г. – 1 раз в месяц до 19.00 часов.</w:t>
            </w:r>
            <w:r w:rsidR="00A124E9" w:rsidRPr="00A124E9">
              <w:rPr>
                <w:sz w:val="22"/>
                <w:szCs w:val="22"/>
              </w:rPr>
              <w:t xml:space="preserve"> ГБУ «Национальный музей Республики Коми» на базе всех пяти отделов реализует проект «Вечерний музей», в рамках которого 1-2 раза в месяц </w:t>
            </w:r>
            <w:r w:rsidR="00A124E9" w:rsidRPr="00A124E9">
              <w:rPr>
                <w:sz w:val="22"/>
                <w:szCs w:val="22"/>
              </w:rPr>
              <w:lastRenderedPageBreak/>
              <w:t>проводятся вечерние мероприятия: вечера гитарной поэзии, вечера встречи молодых литераторов с поэтами, юбилейные вечера писателей и т.п.</w:t>
            </w:r>
          </w:p>
        </w:tc>
        <w:tc>
          <w:tcPr>
            <w:tcW w:w="1985" w:type="dxa"/>
            <w:shd w:val="clear" w:color="auto" w:fill="auto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877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-</w:t>
            </w:r>
          </w:p>
        </w:tc>
        <w:tc>
          <w:tcPr>
            <w:tcW w:w="1594" w:type="dxa"/>
          </w:tcPr>
          <w:p w:rsidR="00BB19EC" w:rsidRPr="00186372" w:rsidRDefault="00BB19EC" w:rsidP="002C7C4F">
            <w:pPr>
              <w:jc w:val="both"/>
              <w:rPr>
                <w:sz w:val="22"/>
                <w:szCs w:val="22"/>
              </w:rPr>
            </w:pPr>
            <w:r w:rsidRPr="00186372">
              <w:rPr>
                <w:sz w:val="22"/>
                <w:szCs w:val="22"/>
              </w:rPr>
              <w:t>Поручение Указа выполнено</w:t>
            </w:r>
          </w:p>
        </w:tc>
      </w:tr>
    </w:tbl>
    <w:p w:rsidR="00BB19EC" w:rsidRDefault="00BB19EC"/>
    <w:sectPr w:rsidR="00BB19EC" w:rsidSect="00BB19EC">
      <w:pgSz w:w="16838" w:h="11906" w:orient="landscape"/>
      <w:pgMar w:top="851" w:right="1134" w:bottom="127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7383B"/>
    <w:multiLevelType w:val="hybridMultilevel"/>
    <w:tmpl w:val="D8B07E0C"/>
    <w:lvl w:ilvl="0" w:tplc="0F5EE7D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8A"/>
    <w:rsid w:val="000005E3"/>
    <w:rsid w:val="000013CC"/>
    <w:rsid w:val="00001617"/>
    <w:rsid w:val="0000334E"/>
    <w:rsid w:val="00010C3C"/>
    <w:rsid w:val="0001187E"/>
    <w:rsid w:val="00012144"/>
    <w:rsid w:val="0001215D"/>
    <w:rsid w:val="00014634"/>
    <w:rsid w:val="00015751"/>
    <w:rsid w:val="00016473"/>
    <w:rsid w:val="00017BF0"/>
    <w:rsid w:val="00020D6F"/>
    <w:rsid w:val="00021520"/>
    <w:rsid w:val="00025041"/>
    <w:rsid w:val="000256D0"/>
    <w:rsid w:val="00027B73"/>
    <w:rsid w:val="00032A30"/>
    <w:rsid w:val="000464EE"/>
    <w:rsid w:val="000473AB"/>
    <w:rsid w:val="00053930"/>
    <w:rsid w:val="00055F14"/>
    <w:rsid w:val="00061349"/>
    <w:rsid w:val="0006171D"/>
    <w:rsid w:val="00065102"/>
    <w:rsid w:val="00070708"/>
    <w:rsid w:val="00083364"/>
    <w:rsid w:val="00085057"/>
    <w:rsid w:val="00085CCE"/>
    <w:rsid w:val="000866DC"/>
    <w:rsid w:val="000914BC"/>
    <w:rsid w:val="00091A3D"/>
    <w:rsid w:val="000943D0"/>
    <w:rsid w:val="00094F15"/>
    <w:rsid w:val="000951E6"/>
    <w:rsid w:val="0009630A"/>
    <w:rsid w:val="000A1E92"/>
    <w:rsid w:val="000A6633"/>
    <w:rsid w:val="000A779A"/>
    <w:rsid w:val="000B00FC"/>
    <w:rsid w:val="000D0E0F"/>
    <w:rsid w:val="000D1A20"/>
    <w:rsid w:val="000E294F"/>
    <w:rsid w:val="000E6012"/>
    <w:rsid w:val="000E6CA7"/>
    <w:rsid w:val="000F14CC"/>
    <w:rsid w:val="000F652F"/>
    <w:rsid w:val="000F6C7B"/>
    <w:rsid w:val="001010A5"/>
    <w:rsid w:val="001136F5"/>
    <w:rsid w:val="001151B3"/>
    <w:rsid w:val="00116E33"/>
    <w:rsid w:val="00121A23"/>
    <w:rsid w:val="001249F0"/>
    <w:rsid w:val="001253A1"/>
    <w:rsid w:val="00126451"/>
    <w:rsid w:val="00136C34"/>
    <w:rsid w:val="0014417A"/>
    <w:rsid w:val="00145751"/>
    <w:rsid w:val="00145EA8"/>
    <w:rsid w:val="00147D50"/>
    <w:rsid w:val="00152821"/>
    <w:rsid w:val="001541EF"/>
    <w:rsid w:val="00155F85"/>
    <w:rsid w:val="00156289"/>
    <w:rsid w:val="00156CFB"/>
    <w:rsid w:val="0015722F"/>
    <w:rsid w:val="00162278"/>
    <w:rsid w:val="00164DE0"/>
    <w:rsid w:val="00175559"/>
    <w:rsid w:val="00176C3C"/>
    <w:rsid w:val="001806FA"/>
    <w:rsid w:val="00186372"/>
    <w:rsid w:val="00192EE4"/>
    <w:rsid w:val="001942A4"/>
    <w:rsid w:val="001959A6"/>
    <w:rsid w:val="00197BBC"/>
    <w:rsid w:val="001A6D81"/>
    <w:rsid w:val="001B2676"/>
    <w:rsid w:val="001B4F18"/>
    <w:rsid w:val="001C3A62"/>
    <w:rsid w:val="001C7918"/>
    <w:rsid w:val="001D1D1A"/>
    <w:rsid w:val="001D4F59"/>
    <w:rsid w:val="001D7586"/>
    <w:rsid w:val="001F0CEA"/>
    <w:rsid w:val="001F3849"/>
    <w:rsid w:val="002013C1"/>
    <w:rsid w:val="00204CCD"/>
    <w:rsid w:val="00215AB8"/>
    <w:rsid w:val="002273ED"/>
    <w:rsid w:val="0023092A"/>
    <w:rsid w:val="002342A8"/>
    <w:rsid w:val="002441DC"/>
    <w:rsid w:val="0024622A"/>
    <w:rsid w:val="002548FB"/>
    <w:rsid w:val="00255D2C"/>
    <w:rsid w:val="00260B6B"/>
    <w:rsid w:val="00261CCC"/>
    <w:rsid w:val="002639B1"/>
    <w:rsid w:val="002640C3"/>
    <w:rsid w:val="00267425"/>
    <w:rsid w:val="00277593"/>
    <w:rsid w:val="0028467C"/>
    <w:rsid w:val="002865AC"/>
    <w:rsid w:val="00291B5A"/>
    <w:rsid w:val="002943F8"/>
    <w:rsid w:val="002A0D18"/>
    <w:rsid w:val="002A2AD1"/>
    <w:rsid w:val="002A7BEF"/>
    <w:rsid w:val="002B57EE"/>
    <w:rsid w:val="002B7F66"/>
    <w:rsid w:val="002C2B49"/>
    <w:rsid w:val="002C3797"/>
    <w:rsid w:val="002C405A"/>
    <w:rsid w:val="002C7C42"/>
    <w:rsid w:val="002D28DD"/>
    <w:rsid w:val="002E28BA"/>
    <w:rsid w:val="002E520A"/>
    <w:rsid w:val="002E785B"/>
    <w:rsid w:val="002F17E3"/>
    <w:rsid w:val="002F2866"/>
    <w:rsid w:val="002F5ED8"/>
    <w:rsid w:val="002F648C"/>
    <w:rsid w:val="00300E19"/>
    <w:rsid w:val="00301FD9"/>
    <w:rsid w:val="00303594"/>
    <w:rsid w:val="0030492A"/>
    <w:rsid w:val="0030602A"/>
    <w:rsid w:val="00307BB2"/>
    <w:rsid w:val="003101E5"/>
    <w:rsid w:val="003109C6"/>
    <w:rsid w:val="00312256"/>
    <w:rsid w:val="003125D6"/>
    <w:rsid w:val="00313200"/>
    <w:rsid w:val="00313FC3"/>
    <w:rsid w:val="0031533E"/>
    <w:rsid w:val="00317D73"/>
    <w:rsid w:val="00323B9D"/>
    <w:rsid w:val="0032723A"/>
    <w:rsid w:val="00333FC8"/>
    <w:rsid w:val="0033580D"/>
    <w:rsid w:val="003434F9"/>
    <w:rsid w:val="00353FA2"/>
    <w:rsid w:val="00355782"/>
    <w:rsid w:val="003568CD"/>
    <w:rsid w:val="00357EEB"/>
    <w:rsid w:val="00362864"/>
    <w:rsid w:val="00371FFB"/>
    <w:rsid w:val="00380E89"/>
    <w:rsid w:val="00384855"/>
    <w:rsid w:val="0039667D"/>
    <w:rsid w:val="003A1570"/>
    <w:rsid w:val="003A7944"/>
    <w:rsid w:val="003B4086"/>
    <w:rsid w:val="003B4CCB"/>
    <w:rsid w:val="003B7164"/>
    <w:rsid w:val="003C0D6C"/>
    <w:rsid w:val="003C1127"/>
    <w:rsid w:val="003C1D6F"/>
    <w:rsid w:val="003C338F"/>
    <w:rsid w:val="003C548E"/>
    <w:rsid w:val="003D01B0"/>
    <w:rsid w:val="003D2F73"/>
    <w:rsid w:val="003D5323"/>
    <w:rsid w:val="003D6ADA"/>
    <w:rsid w:val="003D77EF"/>
    <w:rsid w:val="003E1A39"/>
    <w:rsid w:val="003F1A07"/>
    <w:rsid w:val="003F2CB2"/>
    <w:rsid w:val="00400191"/>
    <w:rsid w:val="004031CF"/>
    <w:rsid w:val="0040780B"/>
    <w:rsid w:val="00407F04"/>
    <w:rsid w:val="00410A41"/>
    <w:rsid w:val="00412B5E"/>
    <w:rsid w:val="004160B7"/>
    <w:rsid w:val="00417154"/>
    <w:rsid w:val="00421F3C"/>
    <w:rsid w:val="0045698F"/>
    <w:rsid w:val="00456AE1"/>
    <w:rsid w:val="00457354"/>
    <w:rsid w:val="0046584C"/>
    <w:rsid w:val="00470529"/>
    <w:rsid w:val="00473C19"/>
    <w:rsid w:val="00475454"/>
    <w:rsid w:val="00475C66"/>
    <w:rsid w:val="00477BD8"/>
    <w:rsid w:val="00480B1C"/>
    <w:rsid w:val="004828A7"/>
    <w:rsid w:val="004843D8"/>
    <w:rsid w:val="00493FFC"/>
    <w:rsid w:val="00495BE4"/>
    <w:rsid w:val="00496D50"/>
    <w:rsid w:val="00497163"/>
    <w:rsid w:val="004A18D5"/>
    <w:rsid w:val="004B0C95"/>
    <w:rsid w:val="004B2CCD"/>
    <w:rsid w:val="004B37BB"/>
    <w:rsid w:val="004B7F17"/>
    <w:rsid w:val="004C2A5E"/>
    <w:rsid w:val="004C3A7D"/>
    <w:rsid w:val="004C3C31"/>
    <w:rsid w:val="004D3D26"/>
    <w:rsid w:val="004D773C"/>
    <w:rsid w:val="004E0791"/>
    <w:rsid w:val="004E2AB1"/>
    <w:rsid w:val="004E4BE7"/>
    <w:rsid w:val="004F0A53"/>
    <w:rsid w:val="004F4AB2"/>
    <w:rsid w:val="00500BB1"/>
    <w:rsid w:val="00500CC7"/>
    <w:rsid w:val="00501333"/>
    <w:rsid w:val="00502C0E"/>
    <w:rsid w:val="00502CD1"/>
    <w:rsid w:val="00502F7A"/>
    <w:rsid w:val="00503834"/>
    <w:rsid w:val="00504588"/>
    <w:rsid w:val="00505375"/>
    <w:rsid w:val="005177E8"/>
    <w:rsid w:val="005226FE"/>
    <w:rsid w:val="00523C2F"/>
    <w:rsid w:val="005254AC"/>
    <w:rsid w:val="00534B96"/>
    <w:rsid w:val="00537DB7"/>
    <w:rsid w:val="005472F7"/>
    <w:rsid w:val="00553698"/>
    <w:rsid w:val="00557A32"/>
    <w:rsid w:val="0056641F"/>
    <w:rsid w:val="00567E63"/>
    <w:rsid w:val="00571014"/>
    <w:rsid w:val="00582CAB"/>
    <w:rsid w:val="005861B4"/>
    <w:rsid w:val="005871AB"/>
    <w:rsid w:val="00594D10"/>
    <w:rsid w:val="00595030"/>
    <w:rsid w:val="005956F1"/>
    <w:rsid w:val="005A0A74"/>
    <w:rsid w:val="005A19F2"/>
    <w:rsid w:val="005A4EF2"/>
    <w:rsid w:val="005A7AA6"/>
    <w:rsid w:val="005B283C"/>
    <w:rsid w:val="005B73E9"/>
    <w:rsid w:val="005B7C60"/>
    <w:rsid w:val="005C02B3"/>
    <w:rsid w:val="005C5F0F"/>
    <w:rsid w:val="005C663C"/>
    <w:rsid w:val="005C7FC0"/>
    <w:rsid w:val="005D0A7E"/>
    <w:rsid w:val="005D249F"/>
    <w:rsid w:val="005D416F"/>
    <w:rsid w:val="005D4DEA"/>
    <w:rsid w:val="005E043A"/>
    <w:rsid w:val="005E5224"/>
    <w:rsid w:val="005E742A"/>
    <w:rsid w:val="005F2F9C"/>
    <w:rsid w:val="005F3010"/>
    <w:rsid w:val="006001F6"/>
    <w:rsid w:val="00603D7B"/>
    <w:rsid w:val="00605CFF"/>
    <w:rsid w:val="00610090"/>
    <w:rsid w:val="00610AB2"/>
    <w:rsid w:val="00611025"/>
    <w:rsid w:val="006114AE"/>
    <w:rsid w:val="00612724"/>
    <w:rsid w:val="006141EF"/>
    <w:rsid w:val="00617ECF"/>
    <w:rsid w:val="00631A39"/>
    <w:rsid w:val="00632010"/>
    <w:rsid w:val="00641937"/>
    <w:rsid w:val="00644A00"/>
    <w:rsid w:val="00651D73"/>
    <w:rsid w:val="00660505"/>
    <w:rsid w:val="006618F6"/>
    <w:rsid w:val="0066193B"/>
    <w:rsid w:val="00665672"/>
    <w:rsid w:val="00670598"/>
    <w:rsid w:val="00670926"/>
    <w:rsid w:val="00673058"/>
    <w:rsid w:val="00674EE8"/>
    <w:rsid w:val="006752C8"/>
    <w:rsid w:val="006828D3"/>
    <w:rsid w:val="00682AEB"/>
    <w:rsid w:val="00684402"/>
    <w:rsid w:val="00685950"/>
    <w:rsid w:val="00686D18"/>
    <w:rsid w:val="00690805"/>
    <w:rsid w:val="00690EFF"/>
    <w:rsid w:val="00693A8E"/>
    <w:rsid w:val="006A38D3"/>
    <w:rsid w:val="006A43F9"/>
    <w:rsid w:val="006A47A5"/>
    <w:rsid w:val="006B499B"/>
    <w:rsid w:val="006C2F12"/>
    <w:rsid w:val="006C42FF"/>
    <w:rsid w:val="006C61FD"/>
    <w:rsid w:val="006D2A15"/>
    <w:rsid w:val="006D37C9"/>
    <w:rsid w:val="006D439D"/>
    <w:rsid w:val="006E2F45"/>
    <w:rsid w:val="006E6003"/>
    <w:rsid w:val="006F29A1"/>
    <w:rsid w:val="006F6DE1"/>
    <w:rsid w:val="0070239B"/>
    <w:rsid w:val="00705B82"/>
    <w:rsid w:val="00705FE5"/>
    <w:rsid w:val="00707DEC"/>
    <w:rsid w:val="007128E4"/>
    <w:rsid w:val="00713625"/>
    <w:rsid w:val="0071777F"/>
    <w:rsid w:val="007178AD"/>
    <w:rsid w:val="0072339B"/>
    <w:rsid w:val="007235F7"/>
    <w:rsid w:val="00724B32"/>
    <w:rsid w:val="00727C7D"/>
    <w:rsid w:val="00731139"/>
    <w:rsid w:val="0073423A"/>
    <w:rsid w:val="007364B8"/>
    <w:rsid w:val="007404BE"/>
    <w:rsid w:val="00743358"/>
    <w:rsid w:val="0074467A"/>
    <w:rsid w:val="0075078F"/>
    <w:rsid w:val="00756692"/>
    <w:rsid w:val="00760A8A"/>
    <w:rsid w:val="00775999"/>
    <w:rsid w:val="007760C5"/>
    <w:rsid w:val="00787EF1"/>
    <w:rsid w:val="00793E4E"/>
    <w:rsid w:val="007A51A9"/>
    <w:rsid w:val="007B3103"/>
    <w:rsid w:val="007B47F3"/>
    <w:rsid w:val="007B7614"/>
    <w:rsid w:val="007B7670"/>
    <w:rsid w:val="007C339A"/>
    <w:rsid w:val="007C3A06"/>
    <w:rsid w:val="007C70E1"/>
    <w:rsid w:val="007C7922"/>
    <w:rsid w:val="007D1A67"/>
    <w:rsid w:val="007D2DCE"/>
    <w:rsid w:val="007D2F34"/>
    <w:rsid w:val="007D35F5"/>
    <w:rsid w:val="007D3EC8"/>
    <w:rsid w:val="007D6099"/>
    <w:rsid w:val="007E0913"/>
    <w:rsid w:val="007E1066"/>
    <w:rsid w:val="007E4781"/>
    <w:rsid w:val="007E6E42"/>
    <w:rsid w:val="007F0F95"/>
    <w:rsid w:val="007F7F40"/>
    <w:rsid w:val="00800AB1"/>
    <w:rsid w:val="00807215"/>
    <w:rsid w:val="00815A35"/>
    <w:rsid w:val="00824B6B"/>
    <w:rsid w:val="00835976"/>
    <w:rsid w:val="0083604B"/>
    <w:rsid w:val="0083633A"/>
    <w:rsid w:val="008440C3"/>
    <w:rsid w:val="00844A32"/>
    <w:rsid w:val="00845917"/>
    <w:rsid w:val="00845CA6"/>
    <w:rsid w:val="00851776"/>
    <w:rsid w:val="0085210E"/>
    <w:rsid w:val="00852F8A"/>
    <w:rsid w:val="008629FE"/>
    <w:rsid w:val="00864AF1"/>
    <w:rsid w:val="0086520B"/>
    <w:rsid w:val="008800CF"/>
    <w:rsid w:val="0088225B"/>
    <w:rsid w:val="0088523B"/>
    <w:rsid w:val="00885281"/>
    <w:rsid w:val="0088562D"/>
    <w:rsid w:val="008867E1"/>
    <w:rsid w:val="00891EAD"/>
    <w:rsid w:val="0089594E"/>
    <w:rsid w:val="008965C4"/>
    <w:rsid w:val="00896B10"/>
    <w:rsid w:val="008A0715"/>
    <w:rsid w:val="008A4EB2"/>
    <w:rsid w:val="008B6F6C"/>
    <w:rsid w:val="008C66E5"/>
    <w:rsid w:val="008C7608"/>
    <w:rsid w:val="008D0646"/>
    <w:rsid w:val="008D1A89"/>
    <w:rsid w:val="008D1EAB"/>
    <w:rsid w:val="008D5530"/>
    <w:rsid w:val="008E10CC"/>
    <w:rsid w:val="008E2DF1"/>
    <w:rsid w:val="008E39DF"/>
    <w:rsid w:val="008E6CED"/>
    <w:rsid w:val="008E76D8"/>
    <w:rsid w:val="008F2114"/>
    <w:rsid w:val="00901C5D"/>
    <w:rsid w:val="00906402"/>
    <w:rsid w:val="00910029"/>
    <w:rsid w:val="00910CA9"/>
    <w:rsid w:val="00914076"/>
    <w:rsid w:val="009165B6"/>
    <w:rsid w:val="009178E1"/>
    <w:rsid w:val="00920CEF"/>
    <w:rsid w:val="0093209F"/>
    <w:rsid w:val="00932EB8"/>
    <w:rsid w:val="00933689"/>
    <w:rsid w:val="00934A43"/>
    <w:rsid w:val="00935221"/>
    <w:rsid w:val="00935C47"/>
    <w:rsid w:val="00936544"/>
    <w:rsid w:val="00937CD5"/>
    <w:rsid w:val="0094084C"/>
    <w:rsid w:val="0094194C"/>
    <w:rsid w:val="009426BD"/>
    <w:rsid w:val="00943E12"/>
    <w:rsid w:val="00944E92"/>
    <w:rsid w:val="00956532"/>
    <w:rsid w:val="00963100"/>
    <w:rsid w:val="00972756"/>
    <w:rsid w:val="00973433"/>
    <w:rsid w:val="009808EB"/>
    <w:rsid w:val="00985866"/>
    <w:rsid w:val="0099574E"/>
    <w:rsid w:val="009970FE"/>
    <w:rsid w:val="009A1D39"/>
    <w:rsid w:val="009A30B9"/>
    <w:rsid w:val="009B1BD9"/>
    <w:rsid w:val="009B1EE6"/>
    <w:rsid w:val="009B2A58"/>
    <w:rsid w:val="009B5207"/>
    <w:rsid w:val="009C07FC"/>
    <w:rsid w:val="009C3A00"/>
    <w:rsid w:val="009C799D"/>
    <w:rsid w:val="009D185E"/>
    <w:rsid w:val="009D526D"/>
    <w:rsid w:val="009D71E7"/>
    <w:rsid w:val="009E09EE"/>
    <w:rsid w:val="009E3D50"/>
    <w:rsid w:val="009E7633"/>
    <w:rsid w:val="009F14E4"/>
    <w:rsid w:val="009F3A86"/>
    <w:rsid w:val="00A024D6"/>
    <w:rsid w:val="00A05970"/>
    <w:rsid w:val="00A1220B"/>
    <w:rsid w:val="00A124E9"/>
    <w:rsid w:val="00A153AF"/>
    <w:rsid w:val="00A209EA"/>
    <w:rsid w:val="00A24981"/>
    <w:rsid w:val="00A259E4"/>
    <w:rsid w:val="00A47DF0"/>
    <w:rsid w:val="00A501F8"/>
    <w:rsid w:val="00A50CF3"/>
    <w:rsid w:val="00A52791"/>
    <w:rsid w:val="00A54BFA"/>
    <w:rsid w:val="00A5568A"/>
    <w:rsid w:val="00A62835"/>
    <w:rsid w:val="00A62DD6"/>
    <w:rsid w:val="00A63F9A"/>
    <w:rsid w:val="00A65ADE"/>
    <w:rsid w:val="00A716F2"/>
    <w:rsid w:val="00A7670D"/>
    <w:rsid w:val="00A77FE0"/>
    <w:rsid w:val="00A817CA"/>
    <w:rsid w:val="00A81CE7"/>
    <w:rsid w:val="00A857FD"/>
    <w:rsid w:val="00A90CFE"/>
    <w:rsid w:val="00A90E1D"/>
    <w:rsid w:val="00A96ADA"/>
    <w:rsid w:val="00AA294E"/>
    <w:rsid w:val="00AA4BB2"/>
    <w:rsid w:val="00AA6DD4"/>
    <w:rsid w:val="00AB59F9"/>
    <w:rsid w:val="00AC1E94"/>
    <w:rsid w:val="00AC459B"/>
    <w:rsid w:val="00AC55FC"/>
    <w:rsid w:val="00AC6F57"/>
    <w:rsid w:val="00AE3797"/>
    <w:rsid w:val="00AE4FCE"/>
    <w:rsid w:val="00AE5E9C"/>
    <w:rsid w:val="00AE6C86"/>
    <w:rsid w:val="00AE6DFF"/>
    <w:rsid w:val="00AF00AA"/>
    <w:rsid w:val="00B0095E"/>
    <w:rsid w:val="00B009E1"/>
    <w:rsid w:val="00B009E8"/>
    <w:rsid w:val="00B00C47"/>
    <w:rsid w:val="00B032AF"/>
    <w:rsid w:val="00B03A70"/>
    <w:rsid w:val="00B151EF"/>
    <w:rsid w:val="00B1530F"/>
    <w:rsid w:val="00B207B6"/>
    <w:rsid w:val="00B32378"/>
    <w:rsid w:val="00B35A72"/>
    <w:rsid w:val="00B3610F"/>
    <w:rsid w:val="00B41DBC"/>
    <w:rsid w:val="00B447E9"/>
    <w:rsid w:val="00B4594A"/>
    <w:rsid w:val="00B50E76"/>
    <w:rsid w:val="00B53688"/>
    <w:rsid w:val="00B53F36"/>
    <w:rsid w:val="00B54167"/>
    <w:rsid w:val="00B54788"/>
    <w:rsid w:val="00B60119"/>
    <w:rsid w:val="00B6020B"/>
    <w:rsid w:val="00B6563C"/>
    <w:rsid w:val="00B67878"/>
    <w:rsid w:val="00B70734"/>
    <w:rsid w:val="00B73914"/>
    <w:rsid w:val="00B74797"/>
    <w:rsid w:val="00B76E63"/>
    <w:rsid w:val="00B77741"/>
    <w:rsid w:val="00B80D2F"/>
    <w:rsid w:val="00B811F0"/>
    <w:rsid w:val="00B827A5"/>
    <w:rsid w:val="00B86BC8"/>
    <w:rsid w:val="00B90632"/>
    <w:rsid w:val="00B91F14"/>
    <w:rsid w:val="00B95174"/>
    <w:rsid w:val="00B96B88"/>
    <w:rsid w:val="00BA620A"/>
    <w:rsid w:val="00BB00A2"/>
    <w:rsid w:val="00BB07A2"/>
    <w:rsid w:val="00BB19EC"/>
    <w:rsid w:val="00BB2B14"/>
    <w:rsid w:val="00BB46A4"/>
    <w:rsid w:val="00BC1D72"/>
    <w:rsid w:val="00BC1DEC"/>
    <w:rsid w:val="00BC3E4E"/>
    <w:rsid w:val="00BC419D"/>
    <w:rsid w:val="00BC558A"/>
    <w:rsid w:val="00BC6157"/>
    <w:rsid w:val="00BD5250"/>
    <w:rsid w:val="00BE1612"/>
    <w:rsid w:val="00BE32F5"/>
    <w:rsid w:val="00BE4974"/>
    <w:rsid w:val="00BE4DE4"/>
    <w:rsid w:val="00BF14C2"/>
    <w:rsid w:val="00BF3638"/>
    <w:rsid w:val="00BF38C9"/>
    <w:rsid w:val="00BF4347"/>
    <w:rsid w:val="00BF6775"/>
    <w:rsid w:val="00C1326C"/>
    <w:rsid w:val="00C13F4E"/>
    <w:rsid w:val="00C1429B"/>
    <w:rsid w:val="00C21E1F"/>
    <w:rsid w:val="00C23022"/>
    <w:rsid w:val="00C23748"/>
    <w:rsid w:val="00C25560"/>
    <w:rsid w:val="00C27781"/>
    <w:rsid w:val="00C421A6"/>
    <w:rsid w:val="00C523AB"/>
    <w:rsid w:val="00C5292E"/>
    <w:rsid w:val="00C5337A"/>
    <w:rsid w:val="00C533D3"/>
    <w:rsid w:val="00C55289"/>
    <w:rsid w:val="00C56E82"/>
    <w:rsid w:val="00C57CF0"/>
    <w:rsid w:val="00C6588A"/>
    <w:rsid w:val="00C8182C"/>
    <w:rsid w:val="00C84074"/>
    <w:rsid w:val="00C85791"/>
    <w:rsid w:val="00C913E1"/>
    <w:rsid w:val="00CA0F9C"/>
    <w:rsid w:val="00CA1B56"/>
    <w:rsid w:val="00CA68F0"/>
    <w:rsid w:val="00CB0FC6"/>
    <w:rsid w:val="00CB1CEE"/>
    <w:rsid w:val="00CB785D"/>
    <w:rsid w:val="00CC3AE4"/>
    <w:rsid w:val="00CC420D"/>
    <w:rsid w:val="00CC5FCA"/>
    <w:rsid w:val="00CC67F6"/>
    <w:rsid w:val="00CC7743"/>
    <w:rsid w:val="00CD3079"/>
    <w:rsid w:val="00CD49CD"/>
    <w:rsid w:val="00CD65C8"/>
    <w:rsid w:val="00CD6D1D"/>
    <w:rsid w:val="00CE0E58"/>
    <w:rsid w:val="00CE4ACD"/>
    <w:rsid w:val="00CE4E3F"/>
    <w:rsid w:val="00CE7B54"/>
    <w:rsid w:val="00CF0C20"/>
    <w:rsid w:val="00CF1CB6"/>
    <w:rsid w:val="00CF2577"/>
    <w:rsid w:val="00CF2EEB"/>
    <w:rsid w:val="00CF4972"/>
    <w:rsid w:val="00CF6BCC"/>
    <w:rsid w:val="00CF7183"/>
    <w:rsid w:val="00D01216"/>
    <w:rsid w:val="00D07DD8"/>
    <w:rsid w:val="00D117AA"/>
    <w:rsid w:val="00D135F8"/>
    <w:rsid w:val="00D16A91"/>
    <w:rsid w:val="00D26F3F"/>
    <w:rsid w:val="00D30C0B"/>
    <w:rsid w:val="00D343AF"/>
    <w:rsid w:val="00D36E2E"/>
    <w:rsid w:val="00D43877"/>
    <w:rsid w:val="00D51B14"/>
    <w:rsid w:val="00D51C83"/>
    <w:rsid w:val="00D520E1"/>
    <w:rsid w:val="00D54BDE"/>
    <w:rsid w:val="00D63BDB"/>
    <w:rsid w:val="00D65765"/>
    <w:rsid w:val="00D673EE"/>
    <w:rsid w:val="00D75A66"/>
    <w:rsid w:val="00D75C0C"/>
    <w:rsid w:val="00D81CAB"/>
    <w:rsid w:val="00D8222A"/>
    <w:rsid w:val="00D847BF"/>
    <w:rsid w:val="00D8633E"/>
    <w:rsid w:val="00D879E3"/>
    <w:rsid w:val="00D87D30"/>
    <w:rsid w:val="00D92A87"/>
    <w:rsid w:val="00DA2925"/>
    <w:rsid w:val="00DA4B29"/>
    <w:rsid w:val="00DC18B5"/>
    <w:rsid w:val="00DD08D4"/>
    <w:rsid w:val="00DD17B6"/>
    <w:rsid w:val="00DD488F"/>
    <w:rsid w:val="00DE067C"/>
    <w:rsid w:val="00DE2EA0"/>
    <w:rsid w:val="00DE33B0"/>
    <w:rsid w:val="00DF116C"/>
    <w:rsid w:val="00DF299B"/>
    <w:rsid w:val="00DF2AA4"/>
    <w:rsid w:val="00DF4469"/>
    <w:rsid w:val="00DF5A26"/>
    <w:rsid w:val="00E0601F"/>
    <w:rsid w:val="00E10138"/>
    <w:rsid w:val="00E12A99"/>
    <w:rsid w:val="00E167D6"/>
    <w:rsid w:val="00E16D2F"/>
    <w:rsid w:val="00E16D4B"/>
    <w:rsid w:val="00E212F3"/>
    <w:rsid w:val="00E21E9C"/>
    <w:rsid w:val="00E2531D"/>
    <w:rsid w:val="00E334AE"/>
    <w:rsid w:val="00E352B5"/>
    <w:rsid w:val="00E41268"/>
    <w:rsid w:val="00E41372"/>
    <w:rsid w:val="00E43DC6"/>
    <w:rsid w:val="00E44979"/>
    <w:rsid w:val="00E56E36"/>
    <w:rsid w:val="00E57822"/>
    <w:rsid w:val="00E6355A"/>
    <w:rsid w:val="00E71915"/>
    <w:rsid w:val="00E74707"/>
    <w:rsid w:val="00E75C5E"/>
    <w:rsid w:val="00E80680"/>
    <w:rsid w:val="00E82196"/>
    <w:rsid w:val="00E852C4"/>
    <w:rsid w:val="00E9715D"/>
    <w:rsid w:val="00EA3212"/>
    <w:rsid w:val="00EB00BF"/>
    <w:rsid w:val="00EB48E4"/>
    <w:rsid w:val="00EB5160"/>
    <w:rsid w:val="00EB798E"/>
    <w:rsid w:val="00EB7BA2"/>
    <w:rsid w:val="00EC0532"/>
    <w:rsid w:val="00ED0BE9"/>
    <w:rsid w:val="00ED3C05"/>
    <w:rsid w:val="00ED3C84"/>
    <w:rsid w:val="00EE1624"/>
    <w:rsid w:val="00EE220F"/>
    <w:rsid w:val="00EE3B21"/>
    <w:rsid w:val="00EE799D"/>
    <w:rsid w:val="00EE7F5B"/>
    <w:rsid w:val="00EF25C9"/>
    <w:rsid w:val="00F00930"/>
    <w:rsid w:val="00F024DE"/>
    <w:rsid w:val="00F1408A"/>
    <w:rsid w:val="00F15C55"/>
    <w:rsid w:val="00F22215"/>
    <w:rsid w:val="00F22D0B"/>
    <w:rsid w:val="00F271D1"/>
    <w:rsid w:val="00F356C6"/>
    <w:rsid w:val="00F37D9D"/>
    <w:rsid w:val="00F4550C"/>
    <w:rsid w:val="00F467CA"/>
    <w:rsid w:val="00F5236D"/>
    <w:rsid w:val="00F66C42"/>
    <w:rsid w:val="00F67F40"/>
    <w:rsid w:val="00F7239B"/>
    <w:rsid w:val="00F7300A"/>
    <w:rsid w:val="00F731A0"/>
    <w:rsid w:val="00F813FF"/>
    <w:rsid w:val="00F91995"/>
    <w:rsid w:val="00F92A1E"/>
    <w:rsid w:val="00FA1EC4"/>
    <w:rsid w:val="00FA4567"/>
    <w:rsid w:val="00FA7FCC"/>
    <w:rsid w:val="00FB1C16"/>
    <w:rsid w:val="00FB360F"/>
    <w:rsid w:val="00FB4CCE"/>
    <w:rsid w:val="00FB7305"/>
    <w:rsid w:val="00FC1757"/>
    <w:rsid w:val="00FD04BF"/>
    <w:rsid w:val="00FD5690"/>
    <w:rsid w:val="00FE02EB"/>
    <w:rsid w:val="00FE0B76"/>
    <w:rsid w:val="00FE0C76"/>
    <w:rsid w:val="00FE4BCC"/>
    <w:rsid w:val="00FF2A68"/>
    <w:rsid w:val="00FF3991"/>
    <w:rsid w:val="00FF5B4E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60A8A"/>
    <w:pPr>
      <w:tabs>
        <w:tab w:val="left" w:pos="360"/>
      </w:tabs>
      <w:ind w:right="-5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760A8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3">
    <w:name w:val="Hyperlink"/>
    <w:uiPriority w:val="99"/>
    <w:rsid w:val="00760A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0A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A8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uiPriority w:val="22"/>
    <w:qFormat/>
    <w:rsid w:val="00BB19EC"/>
    <w:rPr>
      <w:b/>
      <w:bCs/>
    </w:rPr>
  </w:style>
  <w:style w:type="paragraph" w:styleId="a7">
    <w:name w:val="List Paragraph"/>
    <w:basedOn w:val="a"/>
    <w:uiPriority w:val="34"/>
    <w:qFormat/>
    <w:rsid w:val="00CD4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60A8A"/>
    <w:pPr>
      <w:tabs>
        <w:tab w:val="left" w:pos="360"/>
      </w:tabs>
      <w:ind w:right="-5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760A8A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3">
    <w:name w:val="Hyperlink"/>
    <w:uiPriority w:val="99"/>
    <w:rsid w:val="00760A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0A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A8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uiPriority w:val="22"/>
    <w:qFormat/>
    <w:rsid w:val="00BB19EC"/>
    <w:rPr>
      <w:b/>
      <w:bCs/>
    </w:rPr>
  </w:style>
  <w:style w:type="paragraph" w:styleId="a7">
    <w:name w:val="List Paragraph"/>
    <w:basedOn w:val="a"/>
    <w:uiPriority w:val="34"/>
    <w:qFormat/>
    <w:rsid w:val="00CD4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ulture.ru/museum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2484</Words>
  <Characters>14164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Ирина Ивановна</dc:creator>
  <cp:lastModifiedBy>Раевская Наталия Арсеновна</cp:lastModifiedBy>
  <cp:revision>7</cp:revision>
  <dcterms:created xsi:type="dcterms:W3CDTF">2013-07-05T07:37:00Z</dcterms:created>
  <dcterms:modified xsi:type="dcterms:W3CDTF">2013-07-05T10:08:00Z</dcterms:modified>
</cp:coreProperties>
</file>